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9BD8" w14:textId="77777777" w:rsidR="00A84E19" w:rsidRPr="009D59F5" w:rsidRDefault="00A84E19" w:rsidP="00A84E19">
      <w:pPr>
        <w:pStyle w:val="Heading2"/>
        <w:jc w:val="center"/>
      </w:pPr>
      <w:r>
        <w:t>CONFIDENTIEL</w:t>
      </w:r>
    </w:p>
    <w:p w14:paraId="42A96B49" w14:textId="0CE2EAF2" w:rsidR="00F77D26" w:rsidRPr="00F337E7" w:rsidRDefault="006A0EBC" w:rsidP="001A6248">
      <w:pPr>
        <w:pStyle w:val="Heading2"/>
        <w:jc w:val="center"/>
      </w:pPr>
      <w:r>
        <w:t>Rapport présenté à :</w:t>
      </w:r>
      <w:r>
        <w:br/>
      </w:r>
      <w:r>
        <w:br/>
        <w:t xml:space="preserve">COMITÉ DES PLAINTES DE LA COMMISSION </w:t>
      </w:r>
      <w:r w:rsidR="00DB4427">
        <w:br/>
      </w:r>
      <w:r>
        <w:t>D</w:t>
      </w:r>
      <w:r w:rsidR="00217BD8">
        <w:t xml:space="preserve">E </w:t>
      </w:r>
      <w:r>
        <w:t>SERVICE DE POLICE D’OTTAWA</w:t>
      </w:r>
      <w:r>
        <w:br/>
      </w:r>
      <w:r>
        <w:br/>
      </w:r>
      <w:sdt>
        <w:sdtPr>
          <w:alias w:val="Date de la réunion du Comité"/>
          <w:tag w:val="CommitteeMeetingDate"/>
          <w:id w:val="1031789126"/>
          <w:placeholder>
            <w:docPart w:val="9D172055159A4968A6D9913159CB3F20"/>
          </w:placeholder>
          <w:date w:fullDate="2026-05-07T00:00:00Z">
            <w:dateFormat w:val="d MMMM yyyy"/>
            <w:lid w:val="fr-CA"/>
            <w:storeMappedDataAs w:val="dateTime"/>
            <w:calendar w:val="gregorian"/>
          </w:date>
        </w:sdtPr>
        <w:sdtContent>
          <w:r w:rsidR="008C0D43">
            <w:t>7 mai 2026</w:t>
          </w:r>
        </w:sdtContent>
      </w:sdt>
      <w:r>
        <w:t xml:space="preserve"> </w:t>
      </w:r>
      <w:r>
        <w:br/>
        <w:t xml:space="preserve">Déposé par : </w:t>
      </w:r>
      <w:bookmarkStart w:id="0" w:name="ReportTo"/>
      <w:bookmarkStart w:id="1" w:name="Contact"/>
      <w:bookmarkEnd w:id="0"/>
      <w:bookmarkEnd w:id="1"/>
      <w:sdt>
        <w:sdtPr>
          <w:id w:val="75133530"/>
          <w:placeholder>
            <w:docPart w:val="7F19337E8D9542C7BD146DE499C8D3A2"/>
          </w:placeholder>
          <w:dropDownList>
            <w:listItem w:value="Choose an item."/>
            <w:listItem w:displayText="Directeur exécutif, Commission de service de police d’Ottawa" w:value="Executive Director, Ottawa Police Services Board"/>
            <w:listItem w:displayText="Chef de police, Service de police d’Ottawa" w:value="Chief of Police, Ottawa Police Service"/>
            <w:listItem w:displayText="Avocat de la Commission" w:value="Board Solicitor / L’avocat de la Commission"/>
            <w:listItem w:displayText="Comité des politiques et de la gouvernance" w:value="Policy and Governance Committee"/>
            <w:listItem w:displayText="Comité des ressources humaines" w:value="Human Resources Committee"/>
            <w:listItem w:displayText="Comité des plaintes" w:value="Complaints Committee"/>
            <w:listItem w:displayText="Comité des finances et de la vérification" w:value="Finance &amp; Audit Committee"/>
          </w:dropDownList>
        </w:sdtPr>
        <w:sdtContent>
          <w:r>
            <w:t>Directeur exécutif, Commission de service de police d’Ottawa</w:t>
          </w:r>
        </w:sdtContent>
      </w:sdt>
      <w:r>
        <w:br/>
      </w:r>
      <w:r>
        <w:br/>
        <w:t>Personne-ressource :</w:t>
      </w:r>
      <w:r>
        <w:br/>
      </w:r>
      <w:sdt>
        <w:sdtPr>
          <w:alias w:val="Personne-ressource"/>
          <w:tag w:val="ContactPerson"/>
          <w:id w:val="18212657"/>
          <w:lock w:val="sdtLocked"/>
          <w:placeholder>
            <w:docPart w:val="9B112308E1564EFEA70B30D481B3008F"/>
          </w:placeholder>
        </w:sdtPr>
        <w:sdtContent>
          <w:r>
            <w:t>Habib Sayah, directeur exécutif, Commission de service de police d’Ottawa</w:t>
          </w:r>
        </w:sdtContent>
      </w:sdt>
      <w:r>
        <w:br/>
      </w:r>
      <w:sdt>
        <w:sdtPr>
          <w:rPr>
            <w:i/>
          </w:rPr>
          <w:alias w:val="CourrielTéléphone"/>
          <w:tag w:val="PhoneEmail"/>
          <w:id w:val="18212661"/>
          <w:lock w:val="sdtLocked"/>
          <w:placeholder>
            <w:docPart w:val="F85E2C550DC74022A28553DCF9C65DE3"/>
          </w:placeholder>
        </w:sdtPr>
        <w:sdtEndPr>
          <w:rPr>
            <w:i w:val="0"/>
          </w:rPr>
        </w:sdtEndPr>
        <w:sdtContent>
          <w:r>
            <w:rPr>
              <w:i/>
            </w:rPr>
            <w:t>habib.sayah@ottawa.ca</w:t>
          </w:r>
        </w:sdtContent>
      </w:sdt>
    </w:p>
    <w:p w14:paraId="7885BABB" w14:textId="77777777" w:rsidR="00F77D26" w:rsidRPr="00F337E7" w:rsidRDefault="00F77D26" w:rsidP="008D33BD">
      <w:pPr>
        <w:sectPr w:rsidR="00F77D26" w:rsidRPr="00F337E7" w:rsidSect="00D27F5E">
          <w:headerReference w:type="default" r:id="rId8"/>
          <w:pgSz w:w="12240" w:h="15840"/>
          <w:pgMar w:top="1343" w:right="1440" w:bottom="1440" w:left="1440" w:header="720" w:footer="720" w:gutter="0"/>
          <w:cols w:space="720"/>
          <w:docGrid w:linePitch="360"/>
        </w:sectPr>
      </w:pPr>
    </w:p>
    <w:p w14:paraId="3D598614" w14:textId="77777777" w:rsidR="00C4169B" w:rsidRPr="00F337E7" w:rsidRDefault="00C4169B" w:rsidP="002D75EC">
      <w:pPr>
        <w:ind w:left="720" w:hanging="720"/>
        <w:rPr>
          <w:b/>
        </w:rPr>
      </w:pPr>
    </w:p>
    <w:p w14:paraId="2E7987B5" w14:textId="6FC67A2B" w:rsidR="00E8291B" w:rsidRPr="00F337E7" w:rsidRDefault="00E8291B" w:rsidP="00B46782">
      <w:pPr>
        <w:pStyle w:val="Heading1"/>
      </w:pPr>
      <w:r>
        <w:t>OBJET :</w:t>
      </w:r>
      <w:r>
        <w:tab/>
      </w:r>
      <w:r>
        <w:rPr>
          <w:rStyle w:val="Style7"/>
        </w:rPr>
        <w:t>Examen de la plainte INV-25-100</w:t>
      </w:r>
    </w:p>
    <w:p w14:paraId="0757E773" w14:textId="77777777" w:rsidR="000A1CA5" w:rsidRPr="00F337E7" w:rsidRDefault="00AB6709" w:rsidP="00B46782">
      <w:pPr>
        <w:pStyle w:val="Heading2"/>
      </w:pPr>
      <w:bookmarkStart w:id="2" w:name="RefNum"/>
      <w:bookmarkStart w:id="3" w:name="wardleft"/>
      <w:bookmarkEnd w:id="2"/>
      <w:bookmarkEnd w:id="3"/>
      <w:r>
        <w:t>RECOMMANDATIONS DU RAPPORT :</w:t>
      </w:r>
    </w:p>
    <w:p w14:paraId="5256DF33" w14:textId="1E2C584F" w:rsidR="006A0EBC" w:rsidRDefault="009F4CBE" w:rsidP="00B46782">
      <w:pPr>
        <w:rPr>
          <w:rStyle w:val="Style6"/>
        </w:rPr>
      </w:pPr>
      <w:r>
        <w:rPr>
          <w:rStyle w:val="Style6"/>
        </w:rPr>
        <w:t xml:space="preserve">Que le Comité des plaintes de la Commission </w:t>
      </w:r>
      <w:r w:rsidR="00217BD8">
        <w:rPr>
          <w:rStyle w:val="Style6"/>
        </w:rPr>
        <w:t>de</w:t>
      </w:r>
      <w:r>
        <w:rPr>
          <w:rStyle w:val="Style6"/>
        </w:rPr>
        <w:t xml:space="preserve"> service de police d’Ottawa :</w:t>
      </w:r>
    </w:p>
    <w:p w14:paraId="3A66E818" w14:textId="280C4A25" w:rsidR="009F4CBE" w:rsidRDefault="009F4CBE" w:rsidP="009F4CBE">
      <w:pPr>
        <w:pStyle w:val="ListParagraph"/>
        <w:numPr>
          <w:ilvl w:val="0"/>
          <w:numId w:val="36"/>
        </w:numPr>
        <w:rPr>
          <w:b/>
          <w:bCs/>
        </w:rPr>
      </w:pPr>
      <w:r>
        <w:rPr>
          <w:b/>
        </w:rPr>
        <w:t>Examine la plainte n</w:t>
      </w:r>
      <w:r>
        <w:rPr>
          <w:b/>
          <w:vertAlign w:val="superscript"/>
        </w:rPr>
        <w:t>o</w:t>
      </w:r>
      <w:r>
        <w:rPr>
          <w:b/>
        </w:rPr>
        <w:t xml:space="preserve"> INV-25-100 concernant des politiques et des procédures, qui a été déposée conformément au paragraphe 107(7) de la </w:t>
      </w:r>
      <w:r>
        <w:rPr>
          <w:b/>
          <w:i/>
        </w:rPr>
        <w:t>Loi de 2019 sur la sécurité communautaire et les services policiers</w:t>
      </w:r>
      <w:r>
        <w:rPr>
          <w:b/>
        </w:rPr>
        <w:t>.</w:t>
      </w:r>
    </w:p>
    <w:p w14:paraId="10F94DEE" w14:textId="20C1CA9B" w:rsidR="00C02207" w:rsidRDefault="00821EB8" w:rsidP="009F4CBE">
      <w:pPr>
        <w:pStyle w:val="ListParagraph"/>
        <w:numPr>
          <w:ilvl w:val="0"/>
          <w:numId w:val="36"/>
        </w:numPr>
        <w:rPr>
          <w:b/>
          <w:bCs/>
        </w:rPr>
      </w:pPr>
      <w:r>
        <w:rPr>
          <w:b/>
        </w:rPr>
        <w:t>Constate que les procédures du chef semblent offrir une approche mesurée de la gestion des grands événements, généralement conforme au cadre constitutionnel dans lequel s’inscrit le maintien de l’ordre public.</w:t>
      </w:r>
    </w:p>
    <w:p w14:paraId="07CCA0BA" w14:textId="20F30F42" w:rsidR="00C02207" w:rsidRDefault="00514581" w:rsidP="009F4CBE">
      <w:pPr>
        <w:pStyle w:val="ListParagraph"/>
        <w:numPr>
          <w:ilvl w:val="0"/>
          <w:numId w:val="36"/>
        </w:numPr>
        <w:rPr>
          <w:b/>
          <w:bCs/>
        </w:rPr>
      </w:pPr>
      <w:r>
        <w:rPr>
          <w:b/>
        </w:rPr>
        <w:t xml:space="preserve">Recommande que, dans le cadre de son examen de la Politique CR-17 – Grands événements, le Comité des politiques et de la gouvernance de la Commission prenne spécifiquement en compte les lacunes potentielles suivantes dans le cadre : </w:t>
      </w:r>
    </w:p>
    <w:p w14:paraId="3EEEA9D8" w14:textId="69984151" w:rsidR="00E6486A" w:rsidRDefault="00C02207" w:rsidP="00C02207">
      <w:pPr>
        <w:pStyle w:val="ListParagraph"/>
        <w:numPr>
          <w:ilvl w:val="1"/>
          <w:numId w:val="36"/>
        </w:numPr>
        <w:rPr>
          <w:b/>
          <w:bCs/>
        </w:rPr>
      </w:pPr>
      <w:r>
        <w:rPr>
          <w:b/>
        </w:rPr>
        <w:t>la sécurité, la dignité et les droits des non-participants, dont les contre-manifestants et les témoins vulnérables;</w:t>
      </w:r>
    </w:p>
    <w:p w14:paraId="7CAD816B" w14:textId="66C4E74F" w:rsidR="00C02207" w:rsidRDefault="00C02207" w:rsidP="00C02207">
      <w:pPr>
        <w:pStyle w:val="ListParagraph"/>
        <w:numPr>
          <w:ilvl w:val="1"/>
          <w:numId w:val="36"/>
        </w:numPr>
        <w:rPr>
          <w:b/>
          <w:bCs/>
        </w:rPr>
      </w:pPr>
      <w:r>
        <w:rPr>
          <w:b/>
        </w:rPr>
        <w:t>les attentes face à des comportements haineux lors des manifestations.</w:t>
      </w:r>
    </w:p>
    <w:p w14:paraId="33DD74D6" w14:textId="32084FC7" w:rsidR="009F4CBE" w:rsidRDefault="009F4CBE" w:rsidP="009F4CBE">
      <w:pPr>
        <w:pStyle w:val="ListParagraph"/>
        <w:numPr>
          <w:ilvl w:val="0"/>
          <w:numId w:val="36"/>
        </w:numPr>
        <w:rPr>
          <w:b/>
          <w:bCs/>
        </w:rPr>
      </w:pPr>
      <w:r>
        <w:rPr>
          <w:b/>
        </w:rPr>
        <w:t>Autorise le directeur exécutif à transmettre les conclusions du Comité à l’inspecteur général, au solliciteur général et au plaignant.</w:t>
      </w:r>
    </w:p>
    <w:p w14:paraId="17EA50CF" w14:textId="2AE1A731" w:rsidR="009F4CBE" w:rsidRPr="009F4CBE" w:rsidRDefault="009F4CBE" w:rsidP="009F4CBE">
      <w:pPr>
        <w:pStyle w:val="ListParagraph"/>
        <w:numPr>
          <w:ilvl w:val="0"/>
          <w:numId w:val="36"/>
        </w:numPr>
        <w:rPr>
          <w:b/>
          <w:bCs/>
        </w:rPr>
      </w:pPr>
      <w:r>
        <w:rPr>
          <w:b/>
        </w:rPr>
        <w:t>Autorise le directeur exécutif à publier ce rapport (sans documents à l’appui) sur le site Web de la Commission afin d’informer le public de ses conclusions et des mesures recommandées en réponse à cette plainte.</w:t>
      </w:r>
    </w:p>
    <w:p w14:paraId="69BD78BF" w14:textId="77777777" w:rsidR="00783490" w:rsidRPr="00F337E7" w:rsidRDefault="008835C4" w:rsidP="00096A78">
      <w:pPr>
        <w:pStyle w:val="Heading2"/>
      </w:pPr>
      <w:r>
        <w:lastRenderedPageBreak/>
        <w:t>CONTEXTE</w:t>
      </w:r>
    </w:p>
    <w:sdt>
      <w:sdtPr>
        <w:alias w:val="Contexte"/>
        <w:tag w:val="Background"/>
        <w:id w:val="7903354"/>
        <w:lock w:val="sdtLocked"/>
        <w:placeholder>
          <w:docPart w:val="A19AA972D3A5454494CF43135AE01477"/>
        </w:placeholder>
      </w:sdtPr>
      <w:sdtContent>
        <w:p w14:paraId="73640969" w14:textId="77777777" w:rsidR="00206B14" w:rsidRPr="00206B14" w:rsidRDefault="00206B14" w:rsidP="00206B14">
          <w:r>
            <w:t xml:space="preserve">Les plaintes concernant des politiques et des procédures sont transmises par l’inspecteur général des services policiers à la Commission de service de police d’Ottawa en vertu du paragraphe 107(6) de la </w:t>
          </w:r>
          <w:r>
            <w:rPr>
              <w:i/>
            </w:rPr>
            <w:t>Loi de 2019 sur la sécurité communautaire et les services policiers</w:t>
          </w:r>
          <w:r>
            <w:t xml:space="preserve"> (LSCSP). Aux termes du paragraphe 107(1) de cette loi, il incombe à l’inspecteur général de recevoir et de traiter les plaintes qui visent des services policiers, y compris celles concernant des politiques, des règlements, des règles ou des procédures d’une commission de service de police ou des procédures établies par un chef de police. Lorsque l’inspecteur général juge qu’il convient de traiter une telle plainte au niveau de la gouvernance, le paragraphe 107(6) l’oblige à transmettre la plainte à la commission de service de police concernée et à informer le plaignant de sa décision.</w:t>
          </w:r>
        </w:p>
        <w:p w14:paraId="5FC9EACB" w14:textId="4B27690C" w:rsidR="00206B14" w:rsidRPr="00206B14" w:rsidRDefault="00206B14" w:rsidP="00206B14">
          <w:r>
            <w:t>Conformément au paragraphe 107(7) de la LSCSP, la Commission est tenue, dès la réception de la plainte, de l’examiner en ce qu’elle se rapporte aux politiques de la Commission et aux procédures du chef de police. Elle doit ensuite faire rapport à l’inspecteur général et au solliciteur général des mesures prises. L’inspecteur général prescrit généralement un délai de 90 jours pour mener à bien cet examen.</w:t>
          </w:r>
        </w:p>
        <w:p w14:paraId="60414C14" w14:textId="5C779902" w:rsidR="00206B14" w:rsidRPr="00206B14" w:rsidRDefault="00206B14" w:rsidP="00206B14">
          <w:r>
            <w:t>La politique sur les plaintes concernant des politiques et des procédures (CR-32) de la Commission établit le cadre de gestion de ces examens. Selon les termes de cette politique, le directeur exécutif est tenu, dès la réception de la plainte, d’en aviser le chef de police, de rassembler les procédures pertinentes du chef de police et les renseignements contextuels pertinents, d’examiner les politiques applicables de la Commission et de rédiger un rapport exhaustif qui aborde la plainte en ce qu’elle se rapporte aux politiques de la Commission et aux procédures du chef de police. Le directeur exécutif doit ensuite soumettre ce rapport au Comité des plaintes.</w:t>
          </w:r>
        </w:p>
        <w:p w14:paraId="44108F68" w14:textId="2A10F07F" w:rsidR="00206B14" w:rsidRPr="00206B14" w:rsidRDefault="00206B14" w:rsidP="00206B14">
          <w:r>
            <w:t>Le rôle du Comité des plaintes consiste à effectuer un examen pragmatique de la plainte et à relever les possibles mesures de correction ou d’amélioration. Grâce aux pouvoirs qui lui sont délégués, le Comité peut demander des renseignements supplémentaires, approuver la réponse de la Commission à l’inspecteur général, appuyer ou modifier les recommandations formulées dans le rapport et soulever des questions de gouvernance ou de politique plus vastes à l’intention de la Commission ou de ses comités. Cet examen ne porte aucunement sur la conduite de membres du Service de police d’Ottawa.</w:t>
          </w:r>
        </w:p>
        <w:p w14:paraId="24CE33B2" w14:textId="44AA4F0B" w:rsidR="004F3519" w:rsidRPr="00206B14" w:rsidRDefault="00206B14" w:rsidP="00D27F5E">
          <w:r>
            <w:t>Après l’examen du Comité, le directeur exécutif communique les conclusions à l’inspecteur général, au solliciteur général et au plaignant en respectant les limitations ou des conditions établies par le Comité, le cas échéant.</w:t>
          </w:r>
        </w:p>
      </w:sdtContent>
    </w:sdt>
    <w:p w14:paraId="15A1F441" w14:textId="77777777" w:rsidR="00783490" w:rsidRPr="00F337E7" w:rsidRDefault="00AB6709" w:rsidP="00096A78">
      <w:pPr>
        <w:pStyle w:val="Heading2"/>
      </w:pPr>
      <w:r>
        <w:lastRenderedPageBreak/>
        <w:t>ANALYSE</w:t>
      </w:r>
    </w:p>
    <w:sdt>
      <w:sdtPr>
        <w:alias w:val="Analyse"/>
        <w:tag w:val="Discussion"/>
        <w:id w:val="7903367"/>
        <w:lock w:val="sdtLocked"/>
        <w:placeholder>
          <w:docPart w:val="DB77374044BF46E5AE4887B68890986C"/>
        </w:placeholder>
      </w:sdtPr>
      <w:sdtEndPr>
        <w:rPr>
          <w:b/>
          <w:bCs/>
        </w:rPr>
      </w:sdtEndPr>
      <w:sdtContent>
        <w:p w14:paraId="01242B1F" w14:textId="57586BD3" w:rsidR="00AB6709" w:rsidRDefault="002F404A" w:rsidP="008D33BD">
          <w:pPr>
            <w:rPr>
              <w:b/>
              <w:bCs/>
            </w:rPr>
          </w:pPr>
          <w:r>
            <w:rPr>
              <w:b/>
            </w:rPr>
            <w:t>Résumé de la plainte</w:t>
          </w:r>
        </w:p>
        <w:p w14:paraId="36309529" w14:textId="77777777" w:rsidR="002933ED" w:rsidRPr="002933ED" w:rsidRDefault="002933ED" w:rsidP="002933ED">
          <w:r>
            <w:t>La plainte a été transmise directement à l’inspecteur général des services policiers, par courriel, le 6 novembre 2024. La plaignante, une femme juive qui se déplace en fauteuil roulant, évoque sa présence au Monument canadien pour les droits de la personne à Ottawa, le 12 octobre 2024, jour de Yom Kippour, durant une manifestation pro-palestinienne hebdomadaire sous forme de marche, au départ de cet endroit. Madame est arrivée environ 45 minutes avant le début de la manifestation et est restée jusqu’à la fin.</w:t>
          </w:r>
        </w:p>
        <w:p w14:paraId="00D71134" w14:textId="2C227B41" w:rsidR="002933ED" w:rsidRPr="002933ED" w:rsidRDefault="002933ED" w:rsidP="002933ED">
          <w:r>
            <w:t>La plaignante soulève plusieurs questions. Elle qualifie les rassemblements hebdomadaires d’illégaux, au motif qu’ils impliquent une incitation publique à la haine et que la Cour suprême du Canada a statué que la liberté d’expression et de réunion pacifique n’est pas protégée en cas de menaces de violence. Elle demande si la Ville d’Ottawa a délivré des permis pour le rassemblement et la marche escortée par la police. Elle demande également si le chef de police a ordonné aux agents de ne pas disperser les participants à leur arrivée et de ne pas appliquer les dispositions du Code criminel relatives à l’incitation à la haine, ni le cadre établi par la Cour suprême en matière de menaces de violence. Elle souligne que la plupart des agents présents portaient des protecteurs auditifs, et demande s’ils étaient en mesure d’entendre les menaces de violence et les discours de nature criminelle. Elle relate également sa propre interaction avec un agent du SPO qui l’a questionné sur l’objectif de sa présence et a déclaré que la police ne pouvait pas garantir sa sécurité. Madame rapporte aussi le comportement de plusieurs manifestants qui lui ont paru menaçants et intimidants. Elle conclut en demandant quels fonctionnaires devraient être tenus responsables de ce qu’elle qualifie d’un non-respect persistant du serment de faire respecter les lois canadiennes.</w:t>
          </w:r>
        </w:p>
        <w:p w14:paraId="7034C192" w14:textId="5E9F4A92" w:rsidR="00C20490" w:rsidRDefault="00C20490" w:rsidP="002F404A">
          <w:pPr>
            <w:rPr>
              <w:b/>
              <w:bCs/>
            </w:rPr>
          </w:pPr>
          <w:r>
            <w:rPr>
              <w:b/>
            </w:rPr>
            <w:t>Mesures prises en réponse à la plainte</w:t>
          </w:r>
        </w:p>
        <w:p w14:paraId="0C72D417" w14:textId="2AA4E416" w:rsidR="002933ED" w:rsidRPr="002933ED" w:rsidRDefault="002933ED" w:rsidP="002933ED">
          <w:r>
            <w:t>Dès la réception de la lettre de transmission par l’inspecteur général, le 15 août 2025, la Commission a entamé son examen en mettant l’accent strictement sur ses politiques et sur les procédures établies par le chef de police. Cet examen n’analyse pas les faits de l’incident outre les renseignements fournis par l’inspecteur général et n’évalue pas la conduite de membres du SPO. Il vise uniquement à déterminer s’il y a lieu de clarifier ou de mettre à jour les politiques ou les procédures.</w:t>
          </w:r>
        </w:p>
        <w:p w14:paraId="00CB99CE" w14:textId="77777777" w:rsidR="002933ED" w:rsidRDefault="002933ED" w:rsidP="002933ED">
          <w:r>
            <w:lastRenderedPageBreak/>
            <w:t xml:space="preserve">Pour orienter l’examen, le bureau de la Commission a sollicité l’aide de l’Unité des normes professionnelles (UNP) du SPO. Les documents suivants ont été fournis par l’UNP : </w:t>
          </w:r>
        </w:p>
        <w:p w14:paraId="72B15034" w14:textId="26313622" w:rsidR="002933ED" w:rsidRDefault="002933ED" w:rsidP="002933ED">
          <w:pPr>
            <w:pStyle w:val="ListParagraph"/>
            <w:numPr>
              <w:ilvl w:val="0"/>
              <w:numId w:val="39"/>
            </w:numPr>
          </w:pPr>
          <w:r>
            <w:t xml:space="preserve">Procédure du chef 15 01 – Gestion des événements, entrée en vigueur le 23 janvier 2017, marquée en cours de révision en raison de l’adoption de la LSCSP; </w:t>
          </w:r>
        </w:p>
        <w:p w14:paraId="156DCAF0" w14:textId="35CA1C30" w:rsidR="002933ED" w:rsidRDefault="002933ED" w:rsidP="002933ED">
          <w:pPr>
            <w:pStyle w:val="ListParagraph"/>
            <w:numPr>
              <w:ilvl w:val="0"/>
              <w:numId w:val="39"/>
            </w:numPr>
          </w:pPr>
          <w:r>
            <w:t xml:space="preserve">Procédure du chef 15.03 – Cadre d’intervention en cas d’incident mettant en cause un assaillant actif; </w:t>
          </w:r>
        </w:p>
        <w:p w14:paraId="2BD195D2" w14:textId="42C4C04D" w:rsidR="002933ED" w:rsidRDefault="002933ED" w:rsidP="002933ED">
          <w:pPr>
            <w:pStyle w:val="ListParagraph"/>
            <w:numPr>
              <w:ilvl w:val="0"/>
              <w:numId w:val="39"/>
            </w:numPr>
          </w:pPr>
          <w:r>
            <w:t xml:space="preserve">Procédure du chef 15.04 – Tactique; </w:t>
          </w:r>
        </w:p>
        <w:p w14:paraId="59DE4211" w14:textId="7D6DF154" w:rsidR="002933ED" w:rsidRDefault="002933ED" w:rsidP="002933ED">
          <w:pPr>
            <w:pStyle w:val="ListParagraph"/>
            <w:numPr>
              <w:ilvl w:val="0"/>
              <w:numId w:val="39"/>
            </w:numPr>
          </w:pPr>
          <w:r>
            <w:t xml:space="preserve">Procédure du chef 15 05 – Grands événements et gestion des événements, entrée en vigueur le 23 janvier 2017, marquée en cours de révision en raison de l’adoption de la LSCSP; </w:t>
          </w:r>
        </w:p>
        <w:p w14:paraId="782DEC67" w14:textId="35DFF10B" w:rsidR="002933ED" w:rsidRDefault="002933ED" w:rsidP="002933ED">
          <w:pPr>
            <w:pStyle w:val="ListParagraph"/>
            <w:numPr>
              <w:ilvl w:val="0"/>
              <w:numId w:val="39"/>
            </w:numPr>
          </w:pPr>
          <w:r>
            <w:t xml:space="preserve">Procédure du chef 15 06 – Ordre public, entrée en vigueur le 23 janvier 2017, marquée en cours de révision en raison de l’adoption de la LSCSP; </w:t>
          </w:r>
        </w:p>
        <w:p w14:paraId="1F808E8C" w14:textId="02F5EE7E" w:rsidR="002933ED" w:rsidRDefault="002933ED" w:rsidP="002933ED">
          <w:pPr>
            <w:pStyle w:val="ListParagraph"/>
            <w:numPr>
              <w:ilvl w:val="0"/>
              <w:numId w:val="39"/>
            </w:numPr>
          </w:pPr>
          <w:r>
            <w:t xml:space="preserve">Procédure du chef 15 07 – Contrôle préliminaire du périmètre et confinement préliminaire; </w:t>
          </w:r>
        </w:p>
        <w:p w14:paraId="6529DDF7" w14:textId="1C0561B8" w:rsidR="002933ED" w:rsidRDefault="002933ED" w:rsidP="002933ED">
          <w:pPr>
            <w:pStyle w:val="ListParagraph"/>
            <w:numPr>
              <w:ilvl w:val="0"/>
              <w:numId w:val="39"/>
            </w:numPr>
          </w:pPr>
          <w:r>
            <w:t xml:space="preserve">Procédure du chef 15.08 – Procédure de déploiement rapide immédiat; </w:t>
          </w:r>
        </w:p>
        <w:p w14:paraId="0E5C787E" w14:textId="1235491D" w:rsidR="002933ED" w:rsidRDefault="002933ED" w:rsidP="002933ED">
          <w:pPr>
            <w:pStyle w:val="ListParagraph"/>
            <w:numPr>
              <w:ilvl w:val="0"/>
              <w:numId w:val="39"/>
            </w:numPr>
          </w:pPr>
          <w:r>
            <w:t xml:space="preserve">Guide d’évaluation des risques liés aux événements du SPO (février 2025). </w:t>
          </w:r>
        </w:p>
        <w:p w14:paraId="7BB5CD12" w14:textId="4D6FF5E1" w:rsidR="002933ED" w:rsidRDefault="002933ED" w:rsidP="002933ED">
          <w:r>
            <w:t xml:space="preserve">Ces documents ont été examinés parallèlement à ceux de la plainte, joints à la transmission de l’inspecteur général, et aux dispositions pertinentes de la </w:t>
          </w:r>
          <w:r>
            <w:rPr>
              <w:i/>
              <w:iCs/>
            </w:rPr>
            <w:t>Charte canadienne des droits et libertés</w:t>
          </w:r>
          <w:r>
            <w:t xml:space="preserve"> et du </w:t>
          </w:r>
          <w:r>
            <w:rPr>
              <w:i/>
              <w:iCs/>
            </w:rPr>
            <w:t>Code criminel du Canada</w:t>
          </w:r>
          <w:r>
            <w:t xml:space="preserve">. </w:t>
          </w:r>
        </w:p>
        <w:p w14:paraId="2C3F2FC1" w14:textId="2142A518" w:rsidR="002933ED" w:rsidRPr="002933ED" w:rsidRDefault="002933ED" w:rsidP="002933ED">
          <w:r>
            <w:t>L’examen a également porté sur la Politique CR-17 de la Commission – Grands événements, ainsi que sur les dispositions pertinentes du Règlement de l’Ontario 392/23 – Services policiers convenables et efficaces (dispositions générales).</w:t>
          </w:r>
        </w:p>
        <w:p w14:paraId="364BB9BA" w14:textId="5083E5C4" w:rsidR="002F404A" w:rsidRDefault="002F404A" w:rsidP="008D33BD">
          <w:pPr>
            <w:rPr>
              <w:b/>
              <w:bCs/>
            </w:rPr>
          </w:pPr>
          <w:r>
            <w:rPr>
              <w:b/>
            </w:rPr>
            <w:t>Examen de la plainte en ce qu’elle se rapporte aux politiques ou aux procédures de la Commission</w:t>
          </w:r>
        </w:p>
        <w:p w14:paraId="024BFE60" w14:textId="25C91904" w:rsidR="002933ED" w:rsidRPr="002933ED" w:rsidRDefault="002933ED" w:rsidP="002933ED">
          <w:r>
            <w:t>La plainte soulève six questions de fond qui relèvent du mandat d’examen de la Commission ou qui y sont liées en vertu du paragraphe 107(7) de la LSCSP. Nous les aborderons une à une.</w:t>
          </w:r>
        </w:p>
        <w:p w14:paraId="0C0E7562" w14:textId="33A3823E" w:rsidR="002933ED" w:rsidRDefault="002933ED" w:rsidP="002933ED">
          <w:pPr>
            <w:rPr>
              <w:u w:val="single"/>
            </w:rPr>
          </w:pPr>
          <w:r>
            <w:rPr>
              <w:u w:val="single"/>
            </w:rPr>
            <w:t>La qualification de ces rassemblements comme illégaux et la question des directives opérationnelles du chef</w:t>
          </w:r>
        </w:p>
        <w:p w14:paraId="0809474D" w14:textId="336B244B" w:rsidR="0011359C" w:rsidRPr="0011359C" w:rsidRDefault="0011359C" w:rsidP="0011359C">
          <w:r>
            <w:t xml:space="preserve">La plaignante demande directement si le chef de police a ordonné aux agents de ne pas disperser les participants au rassemblement et de ne pas appliquer l’interdiction d’incitation à la haine, de même que les restrictions légales concernant les menaces de violence. Cette demande reflète une mauvaise compréhension de la façon dont les </w:t>
          </w:r>
          <w:r>
            <w:lastRenderedPageBreak/>
            <w:t>décisions en matière de maintien de l’ordre public sont prises au sein du Service de police d’Ottawa.</w:t>
          </w:r>
        </w:p>
        <w:p w14:paraId="69AE742A" w14:textId="0596A8C9" w:rsidR="0011359C" w:rsidRDefault="0011359C" w:rsidP="0011359C">
          <w:r>
            <w:t>Dans les faits, le chef de police n’émet pas d’instructions en temps réel aux agents déployés lors d’événements individuels troublant l’ordre public. Les procédures 15.01 et 15.05 du SPO établissent un cadre de commandement structuré en vertu duquel l’autorité décisionnelle opérationnelle lors d’un événement troublant l’ordre public est confiée à un commandant des opérations sur les lieux, appuyé par des commandants d’intervention et des commandants avancés, chargés d’évaluer les conditions sur le terrain et de diriger l’intervention en conséquence. En prévision d’un événement récurrent connu, comme c’est le cas des manifestations hebdomadaires au Monument canadien pour les droits de la personne, le SPO élabore un plan opérationnel en se basant sur les renseignements provenant des événements antérieurs, des évaluations des risques et de la coordination avec les unités concernées, y compris l’Équipe de liaison du Service de police. Ce plan établit la posture de déploiement, les niveaux d’intervention et les critères de communication aux échelons supérieurs applicables à l’événement. C’est ce cadre, plutôt que les directives directes du chef, qui dictent les décisions concernant les mesures de dispersion et d’application de la loi ainsi que le déploiement des ressources, conformément aux procédures du chef pertinentes. Le cadre des procédures ne prévoit pas que le chef prenne des décisions individuelles d’application de la loi sur le terrain. Son rôle consiste plutôt à établir le cadre administratif à l’intérieur duquel les commandants exercent leur autorité, conformément aux politiques de la Commission ainsi qu’à la LSCSP et à ses règlements.</w:t>
          </w:r>
        </w:p>
        <w:p w14:paraId="2B974D81" w14:textId="272CB139" w:rsidR="0011359C" w:rsidRDefault="0011359C" w:rsidP="0011359C">
          <w:r>
            <w:t xml:space="preserve">La question de savoir si le chef aurait pu donner des instructions n’est pas pertinente pour cet examen, qui vise plutôt à déterminer si le cadre politique et administratif dans lequel les décisions opérationnelles ont été prises le 12 octobre 2024 était approprié. </w:t>
          </w:r>
        </w:p>
        <w:p w14:paraId="3EA28EC6" w14:textId="56D5A37D" w:rsidR="00516314" w:rsidRDefault="00516314" w:rsidP="0011359C">
          <w:r>
            <w:t>L’absence de mesures de dispersion ou d’application de la loi lors d’un événement en particulier est cohérente avec le cadre établi par les procédures examinées. Celui-ci exige une intervention mesurée et adaptée au niveau de risque évalué. Il n’exige pas de prendre des mesures d’application de la loi, quelles que soient les circonstances.</w:t>
          </w:r>
        </w:p>
        <w:p w14:paraId="2E22927C" w14:textId="492C3751" w:rsidR="00516314" w:rsidRDefault="00516314" w:rsidP="0011359C">
          <w:r>
            <w:t xml:space="preserve">L’approche calibrée dont il est question reflète également les obligations constitutionnelles qui régissent les services de maintien de l’ordre public en vertu de l’article 2(c) de la </w:t>
          </w:r>
          <w:r>
            <w:rPr>
              <w:i/>
              <w:iCs/>
            </w:rPr>
            <w:t>Charte canadienne des droits et libertés</w:t>
          </w:r>
          <w:r>
            <w:t xml:space="preserve">. Une manifestation publique récurrente de cette nature, soit des personnes qui se réunissent pour faire valoir un point de vue politique sur des questions d’intérêt public, relève du champ d’application de cette garantie. Comme l’a fait remarquer la professeure Jamie Cameron dans un document commandé par la Commission sur l’état d’urgence, la liberté de réunion </w:t>
          </w:r>
          <w:r>
            <w:lastRenderedPageBreak/>
            <w:t>pacifique s’étend aux rassemblements qui sont perturbateurs et dans lesquels certains individus peuvent commettre des actes illicites. Une réunion ne perd pas sa protection constitutionnelle simplement parce qu’elle offense les autres, génère des perturbations ou provoque une réaction hostile au sein de la communauté.</w:t>
          </w:r>
        </w:p>
        <w:p w14:paraId="52BA745D" w14:textId="014D66A4" w:rsidR="00516314" w:rsidRDefault="00516314" w:rsidP="0011359C">
          <w:r>
            <w:t xml:space="preserve">Le pouvoir de dispersion en vertu de l’article 63 du Code criminel exige que l’attroupement, en tant qu’entité collective, commette des actes de violence ou menace de commettre de tels actes. La perturbation ou la provocation à elle seule ne permet pas d’atteindre ce seuil. </w:t>
          </w:r>
        </w:p>
        <w:p w14:paraId="3E488E31" w14:textId="1AE41794" w:rsidR="00516314" w:rsidRPr="0011359C" w:rsidRDefault="00516314" w:rsidP="0011359C">
          <w:r>
            <w:t>L’intervention mesurée intégrée aux procédures du SPO semble à la fois prudente sur le plan opérationnel et sensible aux considérations constitutionnelles.</w:t>
          </w:r>
        </w:p>
        <w:p w14:paraId="17EBD88C" w14:textId="29379A84" w:rsidR="00516314" w:rsidRDefault="0011359C" w:rsidP="0011359C">
          <w:r>
            <w:t xml:space="preserve">Une autre dimension de cette question concerne la doctrine de common law du pouvoir discrétionnaire des constables : un concept éprouvé qui constitue le fondement de la relation entre les services policiers et la primauté du droit dans les systèmes juridiques du Canada et du Commonwealth. Cette doctrine, que la Cour suprême du Canada a reconnu dans </w:t>
          </w:r>
          <w:r>
            <w:rPr>
              <w:i/>
            </w:rPr>
            <w:t>R c. Beaudry</w:t>
          </w:r>
          <w:r>
            <w:t xml:space="preserve"> [2007] 1 RCS 190, stipule qu’un policier n’est pas un simple instrument mécanique d’application de la loi. Les policiers ont le devoir de faire appliquer la loi, mais ils conservent leur jugement professionnel pour déterminer comment et quand ils s’acquittent de ce devoir dans des circonstances données. Dans l’arrêt </w:t>
          </w:r>
          <w:r>
            <w:rPr>
              <w:i/>
            </w:rPr>
            <w:t>Beaudry</w:t>
          </w:r>
          <w:r>
            <w:t xml:space="preserve">, la Cour suprême note que le pouvoir discrétionnaire de la police n’est pas « écarté par [s]es directives internes » et que les politiques ne peuvent altérer la portée d’un pouvoir discrétionnaire fondé sur la common law. Ce pouvoir discrétionnaire n’autorise pas l’inaction arbitraire ou discriminatoire et doit être exercé de bonne foi, sur la base de motifs juridiques pertinents, et d’une manière conforme aux valeurs de la Charte. </w:t>
          </w:r>
        </w:p>
        <w:p w14:paraId="66F17932" w14:textId="4E6DAAAE" w:rsidR="00516314" w:rsidRDefault="00516314" w:rsidP="0011359C">
          <w:r>
            <w:t xml:space="preserve">L’absence d’arrestation ou d’ordre de dispersion lors d’un événement en particulier ne constitue pas une preuve de non-application de la loi. Les agents qui analysent un environnement composé d’une foule dynamique doivent évaluer la nature des comportements observés par rapport aux critères juridiques applicables, le risque d’escalade, la disponibilité des ressources et la sécurité de toutes les personnes présentes. De telles évaluations peuvent amener un agent à s’abstenir légitimement d’appliquer la loi. </w:t>
          </w:r>
        </w:p>
        <w:p w14:paraId="090511EB" w14:textId="77777777" w:rsidR="002933ED" w:rsidRPr="002933ED" w:rsidRDefault="002933ED" w:rsidP="002933ED">
          <w:pPr>
            <w:rPr>
              <w:u w:val="single"/>
            </w:rPr>
          </w:pPr>
          <w:r>
            <w:rPr>
              <w:u w:val="single"/>
            </w:rPr>
            <w:t>La question des permis municipaux</w:t>
          </w:r>
        </w:p>
        <w:p w14:paraId="228D1800" w14:textId="77777777" w:rsidR="002933ED" w:rsidRPr="002933ED" w:rsidRDefault="002933ED" w:rsidP="002933ED">
          <w:r>
            <w:t>La plaignante demande si la Ville d’Ottawa a délivré des permis pour le rassemblement et la marche escortée par la police organisés tous les samedis, et si l’absence d’un tel permis aurait dû entraîner l’intervention de la police.</w:t>
          </w:r>
        </w:p>
        <w:p w14:paraId="19DE713F" w14:textId="79400EEC" w:rsidR="002933ED" w:rsidRPr="002933ED" w:rsidRDefault="002933ED" w:rsidP="002933ED">
          <w:r>
            <w:lastRenderedPageBreak/>
            <w:t>Au moment de l’incident du 12 octobre 2024, le Règlement sur les événements spéciaux dans les rues de la Ville (n</w:t>
          </w:r>
          <w:r>
            <w:rPr>
              <w:vertAlign w:val="superscript"/>
            </w:rPr>
            <w:t>o</w:t>
          </w:r>
          <w:r>
            <w:t> 2001-260) était en vigueur. Dans ce règlement, les manifestations figuraient parmi les « événements spéciaux », ce qui obligeait, en principe, les organisateurs à obtenir un permis avant de faire une manifestation sur une autoroute municipale. La Commission ne sait pas si les organisateurs du rassemblement en question avaient obtenu ou non un tel permis. Par ailleurs, la délivrance des permis municipaux en vue d’un événement relève de la Ville d’Ottawa, et non du Service de police d’Ottawa ou de son chef. Ce rapport ne formule aucune conclusion sur cette question.</w:t>
          </w:r>
        </w:p>
        <w:p w14:paraId="05AB4F0A" w14:textId="4D35B5E8" w:rsidR="002933ED" w:rsidRPr="002933ED" w:rsidRDefault="002933ED" w:rsidP="002933ED">
          <w:r>
            <w:t>Toutefois, nous considérons qu’il est nécessaire d’aborder le postulat derrière la question de la plaignante, à savoir si l’absence de permis aurait contraint, ou du moins autorisé, le Service de police d’Ottawa à dissiper les participants à l’attroupement. Ce postulat ne reflète pas tout à fait le cadre juridique applicable.</w:t>
          </w:r>
        </w:p>
        <w:p w14:paraId="1803DB3F" w14:textId="77777777" w:rsidR="002933ED" w:rsidRPr="002933ED" w:rsidRDefault="002933ED" w:rsidP="002933ED">
          <w:r>
            <w:t>Le mécanisme d’application de la loi prévu par le Règlement sur les événements spéciaux dans les rues de la Ville est de nature administrative : il repose sur des avertissements et des amendes imposés aux organisateurs d’événements. L’absence de permis en vertu d’un règlement municipal ne confère à la police aucune autorité pour ordonner ou forcer la dispersion des participants.</w:t>
          </w:r>
        </w:p>
        <w:p w14:paraId="66FEC498" w14:textId="2D628171" w:rsidR="002933ED" w:rsidRPr="002933ED" w:rsidRDefault="002933ED" w:rsidP="002933ED">
          <w:r>
            <w:t xml:space="preserve">Une telle autorité découle du </w:t>
          </w:r>
          <w:r>
            <w:rPr>
              <w:i/>
              <w:iCs/>
            </w:rPr>
            <w:t>Code criminel du Canada</w:t>
          </w:r>
          <w:r>
            <w:t xml:space="preserve"> et non d’un règlement municipal. Le pouvoir de dispersion en vertu du Code criminel exige qu’un rassemblement réponde aux critères d’un attroupement illégal en vertu de l’article 63, plus précisément, qu’il fasse craindre, pour des motifs raisonnables, une violation tumultueuse de la paix ou qu’une violation réelle ou imminente de la paix engage par ailleurs les pouvoirs conférés à la police par la common law pour préserver l’ordre public. L’absence de permis municipal pour l’organisation d’un événement spécial n’est pas pertinente dans l’évaluation de ces critères.</w:t>
          </w:r>
        </w:p>
        <w:p w14:paraId="56C8EAB6" w14:textId="2C97610F" w:rsidR="002933ED" w:rsidRPr="002933ED" w:rsidRDefault="002933ED" w:rsidP="002933ED">
          <w:r>
            <w:t xml:space="preserve">La Ville d’Ottawa a elle-même reconnu l’utilité limitée de son régime de délivrance de permis pour les manifestations. Présenté au Conseil en mai 2025, l’examen du Règlement sur les événements spéciaux recommandait de retirer complètement les manifestations de l’exigence en matière d’obtention de permis et d’instaurer plutôt un système d’avis volontaire, de façon à reconnaître que les manifestations pacifiques font partie intrinsèque des droits à la liberté d’expression et à la réunion pacifique, protégés par la </w:t>
          </w:r>
          <w:r>
            <w:rPr>
              <w:i/>
              <w:iCs/>
            </w:rPr>
            <w:t>Charte canadienne des droits et libertés</w:t>
          </w:r>
          <w:r>
            <w:t>. </w:t>
          </w:r>
        </w:p>
        <w:p w14:paraId="7D7E730D" w14:textId="5BDD8E1B" w:rsidR="002933ED" w:rsidRPr="002933ED" w:rsidRDefault="002933ED" w:rsidP="002933ED">
          <w:r>
            <w:t>Nous sommes ainsi convaincus que la question de la délivrance de permis municipaux pour l’organisation d’événements ne relève ni des politiques de la Commission ni des procédures du chef. </w:t>
          </w:r>
        </w:p>
        <w:p w14:paraId="7710A7A4" w14:textId="77777777" w:rsidR="002933ED" w:rsidRPr="002933ED" w:rsidRDefault="002933ED" w:rsidP="002933ED">
          <w:pPr>
            <w:rPr>
              <w:u w:val="single"/>
            </w:rPr>
          </w:pPr>
          <w:r>
            <w:rPr>
              <w:u w:val="single"/>
            </w:rPr>
            <w:lastRenderedPageBreak/>
            <w:t>L’équipement de communication des agents</w:t>
          </w:r>
        </w:p>
        <w:p w14:paraId="54FC2A66" w14:textId="77777777" w:rsidR="002933ED" w:rsidRPr="002933ED" w:rsidRDefault="002933ED" w:rsidP="002933ED">
          <w:r>
            <w:t>La plaignante souligne que la plupart des agents présents sur les lieux portaient des protecteurs auditifs, et demande s’ils étaient en mesure d’entendre les menaces de violence et les discours de nature criminelle lors du rassemblement.</w:t>
          </w:r>
        </w:p>
        <w:p w14:paraId="68F37394" w14:textId="34DA0BBD" w:rsidR="002933ED" w:rsidRPr="002933ED" w:rsidRDefault="002933ED" w:rsidP="002933ED">
          <w:r>
            <w:t>L’article G de la procédure 15.06 – Ordre public exige que le programme de l’Unité des services d’urgence (USU) s’assurer que les normes relatives à l’équipement de protection individuelle et à l’équipement de l’Unité du maintien de l’ordre public (UMOP) soient à jour, et que les membres de l’USU ne soient déployés qu’avec l’équipement de protection individuelle approuvé, comme précisé dans les procédures de l’USU. La procédure établit trois niveaux d’intervention progressifs, lesquels se distinguent par le type d’équipement de protection individuelle déployé. Les spécifications détaillées de chaque niveau d’équipement sont consignées dans les procédures de l’USU.</w:t>
          </w:r>
        </w:p>
        <w:p w14:paraId="5EA5DD84" w14:textId="1B5B6F94" w:rsidR="002933ED" w:rsidRPr="002933ED" w:rsidRDefault="002933ED" w:rsidP="002933ED">
          <w:r>
            <w:t>La Commission a été informée que les dispositifs observés par la plaignante, utilisés lors de déploiements de maintien de l’ordre public de cette nature, ne sont pas des protecteurs auditifs passifs, mais plutôt des casques de communication intégrés. Ces appareils sont conçus pour être utilisés dans des environnements bruyants, comme les manifestations publiques. Ils permettent de réduire le bruit ambiant afin de protéger l’ouïe des agents, tout en préservant leur capacité à recevoir des informations de commandement et à entendre les civils qui se trouvent à proximité immédiate, sans avoir à retirer l’appareil. Les agents qui portent ces appareils demeurent conscients de leur environnement immédiat.</w:t>
          </w:r>
        </w:p>
        <w:p w14:paraId="4831E892" w14:textId="77777777" w:rsidR="00590970" w:rsidRDefault="002933ED" w:rsidP="002933ED">
          <w:r>
            <w:t xml:space="preserve">La Commission note également que ce ne sont pas tous les agents déployés lors d’événements de cette nature qui sont équipés de tels dispositifs. Les agents des unités, telles que les Équipes de ressources de quartier et l’Équipe de liaison du Service de police, sont généralement déployés sans ces appareils et conservent une conscience directe de la situation. Le commandement opérationnel dispose simultanément de plusieurs sources d’information en temps réel, notamment une surveillance vidéo continue, accessible au Centre de contrôle des opérations. </w:t>
          </w:r>
        </w:p>
        <w:p w14:paraId="1C2FE83F" w14:textId="48F986B7" w:rsidR="002933ED" w:rsidRPr="002933ED" w:rsidRDefault="002933ED" w:rsidP="002933ED">
          <w:r>
            <w:t>Le cadre écrit relatif à l’équipement des agents lors d’événements troublant l’ordre public paraît adéquat, et les dispositifs décrits par la plaignante semblent conformes à celui-ci.</w:t>
          </w:r>
        </w:p>
        <w:p w14:paraId="74ED83D0" w14:textId="77777777" w:rsidR="002933ED" w:rsidRPr="002933ED" w:rsidRDefault="002933ED" w:rsidP="002933ED">
          <w:pPr>
            <w:rPr>
              <w:u w:val="single"/>
            </w:rPr>
          </w:pPr>
          <w:r>
            <w:rPr>
              <w:u w:val="single"/>
            </w:rPr>
            <w:t>La sécurité des membres de la communauté qui ne participent pas à un rassemblement</w:t>
          </w:r>
        </w:p>
        <w:p w14:paraId="56E6B4FA" w14:textId="77777777" w:rsidR="002933ED" w:rsidRPr="002933ED" w:rsidRDefault="002933ED" w:rsidP="002933ED">
          <w:r>
            <w:t xml:space="preserve">La plaignante décrit son interaction avec un policier en uniforme qui l’a questionnée sur l’objectif de sa présence et a déclaré que la police ne pouvait pas garantir sa sécurité. En tant que femme juive handicapée assistant seule à une commémoration publique le </w:t>
          </w:r>
          <w:r>
            <w:lastRenderedPageBreak/>
            <w:t>jour de Yom Kippour, la plaignante semble avoir perçu que l’agent considérait sa présence comme une préoccupation et qu’il aurait plutôt dû lui offrir une protection. Selon la plaignante, l’agent a ensuite précisé que son inquiétude concernait le fait que son fauteuil roulant se trouvait au bord de l’allée piétonne.</w:t>
          </w:r>
        </w:p>
        <w:p w14:paraId="3BF0D9A8" w14:textId="34EEA49F" w:rsidR="00590970" w:rsidRDefault="002933ED" w:rsidP="002933ED">
          <w:r>
            <w:t xml:space="preserve">Ce rapport ne fait aucune conclusion sur la conduite de l’agent. Une telle évaluation ne fait pas partie de la portée de cet examen. L’objectif ici est de déterminer les normes permettant d’évaluer le caractère convenable des procédures du SPO et de la politique de la Commission existantes dans le cas d’une interaction de ce type. </w:t>
          </w:r>
        </w:p>
        <w:p w14:paraId="22E1137C" w14:textId="7D14833D" w:rsidR="00D91C86" w:rsidRDefault="00D91C86" w:rsidP="002933ED">
          <w:r>
            <w:t>Trois normes juridiques et politiques peuvent s’appliquer à une telle interaction :</w:t>
          </w:r>
        </w:p>
        <w:p w14:paraId="4F36543A" w14:textId="24D3C5E4" w:rsidR="00D91C86" w:rsidRPr="00D91C86" w:rsidRDefault="00D91C86" w:rsidP="00D91C86">
          <w:pPr>
            <w:pStyle w:val="ListParagraph"/>
            <w:numPr>
              <w:ilvl w:val="0"/>
              <w:numId w:val="40"/>
            </w:numPr>
            <w:rPr>
              <w:sz w:val="24"/>
              <w:szCs w:val="24"/>
            </w:rPr>
          </w:pPr>
          <w:r>
            <w:rPr>
              <w:sz w:val="24"/>
            </w:rPr>
            <w:t>le devoir de diligence;</w:t>
          </w:r>
        </w:p>
        <w:p w14:paraId="308175B6" w14:textId="0838ECD2" w:rsidR="00D91C86" w:rsidRPr="00D91C86" w:rsidRDefault="00D91C86" w:rsidP="00D91C86">
          <w:pPr>
            <w:pStyle w:val="ListParagraph"/>
            <w:numPr>
              <w:ilvl w:val="0"/>
              <w:numId w:val="40"/>
            </w:numPr>
            <w:rPr>
              <w:sz w:val="24"/>
              <w:szCs w:val="24"/>
            </w:rPr>
          </w:pPr>
          <w:r>
            <w:rPr>
              <w:sz w:val="24"/>
            </w:rPr>
            <w:t>la prestation de services équitables;</w:t>
          </w:r>
        </w:p>
        <w:p w14:paraId="573A0AB8" w14:textId="70A0034C" w:rsidR="00D91C86" w:rsidRDefault="00D91C86" w:rsidP="00D91C86">
          <w:pPr>
            <w:pStyle w:val="ListParagraph"/>
            <w:numPr>
              <w:ilvl w:val="0"/>
              <w:numId w:val="40"/>
            </w:numPr>
            <w:rPr>
              <w:sz w:val="24"/>
              <w:szCs w:val="24"/>
            </w:rPr>
          </w:pPr>
          <w:r>
            <w:rPr>
              <w:sz w:val="24"/>
            </w:rPr>
            <w:t xml:space="preserve">la ligne entre le fait d’informer une personne engagée dans une activité expressive des risques encourus et de conditionner sa présence à la capacité de la police à la protéger. </w:t>
          </w:r>
        </w:p>
        <w:p w14:paraId="280AECBF" w14:textId="47619B06" w:rsidR="00D91C86" w:rsidRPr="00D91C86" w:rsidRDefault="00D91C86" w:rsidP="00D91C86">
          <w:pPr>
            <w:rPr>
              <w:i/>
              <w:iCs/>
            </w:rPr>
          </w:pPr>
          <w:r>
            <w:rPr>
              <w:i/>
            </w:rPr>
            <w:t>Devoir de diligence</w:t>
          </w:r>
        </w:p>
        <w:p w14:paraId="1BED8CF3" w14:textId="0A99BFA9" w:rsidR="00D91C86" w:rsidRDefault="00D91C86" w:rsidP="00D91C86">
          <w:r>
            <w:t>Le devoir de diligence de la police à l’égard des personnes vulnérables comprend la mise en garde contre les risques prévisibles. Ce devoir permet à un agent d’informer une personne, de bonne foi, d’un danger. Un agent qui reconnaît la vulnérabilité particulière d’un participant et lui fait part d’un risque réel agirait conformément à ce devoir.</w:t>
          </w:r>
        </w:p>
        <w:p w14:paraId="3B41B19B" w14:textId="5A51E9CA" w:rsidR="00D91C86" w:rsidRPr="00D91C86" w:rsidRDefault="00D91C86" w:rsidP="00D91C86">
          <w:pPr>
            <w:rPr>
              <w:i/>
              <w:iCs/>
            </w:rPr>
          </w:pPr>
          <w:r>
            <w:rPr>
              <w:i/>
            </w:rPr>
            <w:t>Prestation de services équitables</w:t>
          </w:r>
        </w:p>
        <w:p w14:paraId="71B94BE6" w14:textId="1A9CC839" w:rsidR="00D91C86" w:rsidRDefault="00D91C86" w:rsidP="00D91C86">
          <w:r>
            <w:t xml:space="preserve">Le principe selon lequel la prestation de services policiers doit être exempte de discrimination fondée sur des motifs illicites est largement admis en Ontario. La </w:t>
          </w:r>
          <w:r>
            <w:rPr>
              <w:i/>
            </w:rPr>
            <w:t>Loi de 2005 sur l’accessibilité pour les personnes handicapées de l’Ontario</w:t>
          </w:r>
          <w:r>
            <w:t xml:space="preserve"> exige en outre que les services soient fournis d’une manière qui n’exclut pas les personnes handicapées ni ne leur impose un fardeau. Une pratique consistant à conseiller spécifiquement aux utilisateurs de fauteuils roulants de quitter les manifestations pourrait être perçue comme un manquement à ce principe.</w:t>
          </w:r>
        </w:p>
        <w:p w14:paraId="3DE197F1" w14:textId="3DA47850" w:rsidR="006F490F" w:rsidRDefault="006F490F" w:rsidP="00D91C86">
          <w:pPr>
            <w:rPr>
              <w:i/>
              <w:iCs/>
            </w:rPr>
          </w:pPr>
          <w:r>
            <w:rPr>
              <w:i/>
            </w:rPr>
            <w:t>Communication des risques</w:t>
          </w:r>
        </w:p>
        <w:p w14:paraId="52A9D61D" w14:textId="5C152C05" w:rsidR="004A0527" w:rsidRDefault="002140BF" w:rsidP="002140BF">
          <w:r>
            <w:t xml:space="preserve">La communication des risques ne porte pas atteinte aux droits ou aux libertés en soi. En revanche, la façon de les communiquer est déterminante. En effet, les mêmes informations peuvent être soit perçues comme des conseils permettant de prendre une décision éclairée, soit comme une invitation à quitter les lieux ou un refus de service. Il </w:t>
          </w:r>
          <w:r>
            <w:lastRenderedPageBreak/>
            <w:t xml:space="preserve">s’agit d’une distinction cruciale, car les procédures du chef visent à assurer la sûreté et la sécurité de tous les membres du public. </w:t>
          </w:r>
        </w:p>
        <w:p w14:paraId="176C6534" w14:textId="3601FE8A" w:rsidR="002140BF" w:rsidRDefault="002140BF" w:rsidP="002140BF">
          <w:r>
            <w:t>Une communication des risques qui permet à la personne de prendre sa propre décision en connaissance de cause semble conforme à cette norme. Toutefois, une formulation qui présente — même implicitement — l’incapacité du Service à protéger un titulaire de droits comme une raison pour laquelle celui-ci devrait quitter les lieux, plutôt que comme un motif pour élargir la protection du Service, ne l’est pas. Ce constat est d’autant plus vrai si l’avertissement s’adresse de manière sélective à un participant particulièrement vulnérable.</w:t>
          </w:r>
        </w:p>
        <w:p w14:paraId="2FF5F074" w14:textId="17643BB2" w:rsidR="004A0527" w:rsidRPr="002140BF" w:rsidRDefault="004A0527" w:rsidP="002140BF">
          <w:r>
            <w:t>Dans ce genre de situation, la formulation est déterminante. Par exemple, « Je tiens à ce que vous sachiez que ce rassemblement comporte un risque d’escalade. Je veux m’assurer que vous disposiez de toute l’information nécessaire pour vous sentir le plus en sécurité possible. Je peux vous dire où nous sommes positionnés, comment nous joindre en cas de besoin, et quelles options s’offrent à vous si, à n’importe quel moment, vous souhaitez quitter les lieux » est une formulation informative et conforme au devoir de diligence. Une déclaration subordonnant la présence d’un titulaire de droits à la capacité du Service à le protéger (ex. : « nous ne pouvons garantir votre sécurité ici ») fait peser la charge sur ce dernier.</w:t>
          </w:r>
        </w:p>
        <w:p w14:paraId="6C8EF4D6" w14:textId="0255D8C5" w:rsidR="008D160B" w:rsidRDefault="00F07D01" w:rsidP="002933ED">
          <w:r>
            <w:t xml:space="preserve">Il faut également reconnaître que l’interaction décrite peut refléter une évaluation opérationnelle juste. Les agents déployés dans le cadre d’événements troublant l’ordre public doivent maintenir une vigilance constante à l’égard de la situation, notamment en évaluant les enjeux de protection posés par des individus, en particulier dans certaines des circonstances particulières. La proximité de la foule, la posture de déploiement du Service ce jour-là et les ressources mobilisées pour gérer le rassemblement sont autant d’éléments qui peuvent avoir fait en sorte qu’il aurait été réellement difficile d’assurer la sécurité physique de la plaignante en cas d’escalade. Un agent ayant reconnu sa vulnérabilité et agi en conséquence se serait comporté de façon appropriée. </w:t>
          </w:r>
        </w:p>
        <w:p w14:paraId="330BB418" w14:textId="69368B68" w:rsidR="00F07D01" w:rsidRDefault="00F07D01" w:rsidP="002933ED">
          <w:r>
            <w:t>La question n’est pas de savoir si une telle évaluation est appropriée, mais si les procédures et la formation fournissent aux agents des directives adéquates sur la façon d’agir à la lumière de ces évaluations, sans faire peser le fardeau de la protection sur la personne à risque.</w:t>
          </w:r>
        </w:p>
        <w:p w14:paraId="6BB9C2BE" w14:textId="7574FEA3" w:rsidR="002933ED" w:rsidRPr="002933ED" w:rsidRDefault="008D160B" w:rsidP="002933ED">
          <w:r>
            <w:t>L’interaction décrite par la plaignante suscite une question précise, à savoir si les procédures du chef et la politique de la Commission fournissent une orientation adéquate en ce qui concerne la sécurité des personnes qui se trouvent à un événement troublant l’ordre public, ou près de celui-ci, sans pour autant participer au rassemblement.</w:t>
          </w:r>
        </w:p>
        <w:p w14:paraId="5070F0C1" w14:textId="77777777" w:rsidR="002933ED" w:rsidRPr="002933ED" w:rsidRDefault="002933ED" w:rsidP="002933ED">
          <w:r>
            <w:lastRenderedPageBreak/>
            <w:t>Les procédures de gestion des événements fournies à la Commission traitent du maintien de l’ordre public lors de rassemblements. La Procédure 15.05 énonce les objectifs de planification des événements, qui consistent notamment à assurer la sûreté et la sécurité du public et du personnel des services d’urgence, à identifier et évaluer les menaces et les risques, à assurer la sécurité en fonction de l’importance des menaces et à faire appliquer la loi, lorsque cela est justifié, tout en respectant les libertés démocratiques. La Procédure 15.06 articule le mandat de maintien de l’ordre public autour de la protection des membres de la communauté et des manifestants légitimes.</w:t>
          </w:r>
        </w:p>
        <w:p w14:paraId="17D0EE2A" w14:textId="544921CD" w:rsidR="002933ED" w:rsidRPr="002933ED" w:rsidRDefault="002933ED" w:rsidP="002933ED">
          <w:r>
            <w:t>Toutefois, les procédures ne contiennent pas de directives précises à l’intention des agents concernant les personnes présentes à proximité d’un événement troublant l’ordre public sans y participer, comme les contre-manifestants, les témoins et les membres de la communauté qui sont susceptibles d’être davantage à risque en raison de leur identité ou de leur vulnérabilité. Dans la Procédure 15.06, la structure de classification des risques en cinq catégories gravite entièrement autour de l’évaluation des comportements et du niveau de risque du rassemblement. Aucune distinction n’est faite quant aux obligations en matière de sécurité à l’égard de la foule à gérer et des personnes qui ne prennent pas part à l’événement. De même, la Politique CR-17 de la Commission – Grands événements n’aborde pas explicitement cette dimension.</w:t>
          </w:r>
        </w:p>
        <w:p w14:paraId="454D70C3" w14:textId="21A95195" w:rsidR="002933ED" w:rsidRPr="002933ED" w:rsidRDefault="002933ED" w:rsidP="002933ED">
          <w:r>
            <w:t>Le mandat général en matière de sécurité publique prévu par les procédures s’applique à toute personne se trouvant dans les espaces publics, et les obligations des agents de préserver la paix en vertu de la common law s’étendent à l’ensemble des membres de la collectivité. Cependant, l’inclusion explicite de cette dimension dans le cadre de gouvernance écrit permettrait de renforcer les orientations à l’intention des agents responsables de la planification et de la gestion des interventions lors d’événements troublant l’ordre public, en particulier dans les événements récurrents où la présence de contre-manifestants ou de membres de la communauté vulnérables est prévisible.</w:t>
          </w:r>
        </w:p>
        <w:p w14:paraId="46EBC8D3" w14:textId="0C8797BA" w:rsidR="002933ED" w:rsidRPr="002933ED" w:rsidRDefault="002933ED" w:rsidP="002933ED">
          <w:r>
            <w:t xml:space="preserve">Il est donc recommandé de revoir la Politique CR-17 de la Commission – Grands événements, afin d’établir clairement que les attentes de la Commission en matière de prestation de services sécuritaires et équitables lors d’événements troublant l’ordre public s’étend à tous les membres de la collectivité se trouvant à proximité d’un rassemblement public, y compris celles qui ne participent pas au rassemblement. </w:t>
          </w:r>
        </w:p>
        <w:p w14:paraId="5E841447" w14:textId="77777777" w:rsidR="002933ED" w:rsidRPr="002933ED" w:rsidRDefault="002933ED" w:rsidP="002933ED">
          <w:pPr>
            <w:rPr>
              <w:u w:val="single"/>
            </w:rPr>
          </w:pPr>
          <w:r>
            <w:rPr>
              <w:u w:val="single"/>
            </w:rPr>
            <w:t>Le comportement des manifestants</w:t>
          </w:r>
        </w:p>
        <w:p w14:paraId="0C0AC887" w14:textId="008AD80D" w:rsidR="002933ED" w:rsidRPr="002933ED" w:rsidRDefault="002933ED" w:rsidP="002933ED">
          <w:r>
            <w:t xml:space="preserve">La plaignante décrit plusieurs interactions avec les manifestants qu’elle a trouvé menaçantes ou intimidantes, notamment des remarques sur son apparence, un commentaire comme quoi elle « se magasinait une balle dans la tête », des tentatives </w:t>
          </w:r>
          <w:r>
            <w:lastRenderedPageBreak/>
            <w:t>de masquer avec des drapeaux une affiche qu’elle tenait et le fait de se faire filmer par des personnes qui semblaient menaçantes. </w:t>
          </w:r>
        </w:p>
        <w:p w14:paraId="14BBA9A1" w14:textId="540B7168" w:rsidR="002933ED" w:rsidRPr="002933ED" w:rsidRDefault="002933ED" w:rsidP="002933ED">
          <w:r>
            <w:t xml:space="preserve">Il convient de reconnaître le caractère éprouvant des interactions telles qu’elles sont décrites. Ce rapport ne peut toutefois pas se prononcer sur la réaction de la police face aux propos et aux comportements des manifestants décrits par la plaignante. Les informations fournies par cette dernière ne permettent pas de déterminer si elle a informé les agents sur les lieux des interactions en question, ni ne fournissent suffisamment de détails sur les circonstances, notamment la proximité des agents, le niveau de bruit ambiant et la configuration de la foule aux moments pertinents, pour évaluer si les agents situés à proximité auraient dû, dans ces circonstances, entendre ou observer les propos en question. Sans ces deux éléments cruciaux, l’examen n’est pas en mesure de tirer des conclusions. </w:t>
          </w:r>
        </w:p>
        <w:p w14:paraId="7E673D02" w14:textId="77777777" w:rsidR="002933ED" w:rsidRPr="002933ED" w:rsidRDefault="002933ED" w:rsidP="002933ED">
          <w:pPr>
            <w:rPr>
              <w:u w:val="single"/>
            </w:rPr>
          </w:pPr>
          <w:r>
            <w:rPr>
              <w:u w:val="single"/>
            </w:rPr>
            <w:t>Le contexte de gouvernance plus vaste</w:t>
          </w:r>
        </w:p>
        <w:p w14:paraId="599C666B" w14:textId="21F5B631" w:rsidR="002933ED" w:rsidRPr="002933ED" w:rsidRDefault="002933ED" w:rsidP="002933ED">
          <w:r>
            <w:t>Cette plainte, présentée dans le contexte d’une manifestation publique récurrente, suscite des préoccupations qui vont au-delà des décisions d’application de la loi prises le 12 octobre 2024. Plus précisément, le récit de la plaignante concernant ses interactions en tant que témoin et contre-manifestante, et ses questions sur l’identification et la répression de comportements haineux lors d’événements troublant l’ordre public, soulèvent des enjeux qui méritent un examen plus approfondi, dans un cadre de gouvernance plus vaste.</w:t>
          </w:r>
        </w:p>
        <w:p w14:paraId="6011F7E7" w14:textId="13C0383E" w:rsidR="002933ED" w:rsidRPr="002933ED" w:rsidRDefault="002933ED" w:rsidP="002933ED">
          <w:r>
            <w:t>La Commission mène actuellement des travaux pour renforcer son cadre stratégique sur les grands événements, notamment en vue d’élaborer une approche fondée sur les droits de la personne en matière de manifestations. Ces travaux s’inspirent en partie des recommandations de la Commission populaire d’Ottawa, en réponse auxquelles la Commission s’est engagée à adopter une approche globale des droits de la personne dans le contexte des manifestations, approche qui englobe non seulement les droits des manifestants, mais aussi la sécurité, la dignité, et le bien-être des témoins et des autres membres de la communauté, qui, sans prendre part au rassemblement, en subissent les conséquences en raison de leur proximité avec celui-ci ou simplement de leur présence dans les espaces publics.</w:t>
          </w:r>
        </w:p>
        <w:p w14:paraId="538D7CA0" w14:textId="7D554B96" w:rsidR="00C377FA" w:rsidRPr="00CD437D" w:rsidRDefault="002933ED" w:rsidP="008D33BD">
          <w:r>
            <w:t xml:space="preserve">Les préoccupations soulevées dans cette plainte s’inscrivent dans le cadre de cet engagement, en particulier le caractère adéquat des mesures de protection pour les non-participants à des événements troublant l’ordre public ainsi que le cadre opérationnel permettant d’identifier les comportements potentiellement motivés par la haine et d’y réagir. Le Comité des plaintes peut recommander au Comité des politiques et de la gouvernance que la révision de la politique sur les grands événements et les </w:t>
          </w:r>
          <w:r>
            <w:lastRenderedPageBreak/>
            <w:t>consultations communautaires qui s’y rapportent tiennent expressément compte des attentes relatives à la sécurité des témoins et des contre-manifestants, ainsi que du cadre dans lequel s’inscrivent les décisions d’application de la loi en contexte de démonstration de haine et de préjugés lors des manifestations.</w:t>
          </w:r>
        </w:p>
      </w:sdtContent>
    </w:sdt>
    <w:p w14:paraId="6396FF01" w14:textId="77777777" w:rsidR="00783490" w:rsidRPr="00F337E7" w:rsidRDefault="00AB6709" w:rsidP="00096A78">
      <w:pPr>
        <w:pStyle w:val="Heading2"/>
      </w:pPr>
      <w:bookmarkStart w:id="4" w:name="OLE_LINK2"/>
      <w:bookmarkStart w:id="5" w:name="OLE_LINK1"/>
      <w:r>
        <w:t>CONSULTATIONS</w:t>
      </w:r>
    </w:p>
    <w:sdt>
      <w:sdtPr>
        <w:alias w:val="Consultation"/>
        <w:tag w:val="Consultation"/>
        <w:id w:val="7903383"/>
        <w:lock w:val="sdtLocked"/>
        <w:placeholder>
          <w:docPart w:val="E7A1BB587EB04ED58188380687264ED8"/>
        </w:placeholder>
      </w:sdtPr>
      <w:sdtContent>
        <w:p w14:paraId="32C1B2CA" w14:textId="1DCF8FB5" w:rsidR="004F3519" w:rsidRPr="00F337E7" w:rsidRDefault="009D2DE0" w:rsidP="008D33BD">
          <w:r>
            <w:t>S.o.</w:t>
          </w:r>
        </w:p>
      </w:sdtContent>
    </w:sdt>
    <w:p w14:paraId="4BF4C420" w14:textId="77777777" w:rsidR="00AB6709" w:rsidRPr="00F337E7" w:rsidRDefault="00AB6709" w:rsidP="00096A78">
      <w:pPr>
        <w:pStyle w:val="Heading2"/>
      </w:pPr>
      <w:bookmarkStart w:id="6" w:name="OLE_LINK4"/>
      <w:bookmarkStart w:id="7" w:name="OLE_LINK3"/>
      <w:bookmarkEnd w:id="4"/>
      <w:bookmarkEnd w:id="5"/>
      <w:r>
        <w:t>RÉPERCUSSIONS FINANCIÈRES</w:t>
      </w:r>
    </w:p>
    <w:sdt>
      <w:sdtPr>
        <w:alias w:val="Répercussions financières"/>
        <w:tag w:val="FinancialImplications"/>
        <w:id w:val="7903446"/>
        <w:lock w:val="sdtLocked"/>
        <w:placeholder>
          <w:docPart w:val="018A3A63D21547D0A2E9D6C63FF40233"/>
        </w:placeholder>
      </w:sdtPr>
      <w:sdtContent>
        <w:p w14:paraId="0814EA2D" w14:textId="43C8608A" w:rsidR="00F62A8C" w:rsidRPr="00F337E7" w:rsidRDefault="009D2DE0" w:rsidP="008D33BD">
          <w:r>
            <w:t>S.o.</w:t>
          </w:r>
        </w:p>
      </w:sdtContent>
    </w:sdt>
    <w:bookmarkEnd w:id="6"/>
    <w:bookmarkEnd w:id="7"/>
    <w:p w14:paraId="25687F11" w14:textId="77777777" w:rsidR="00AB6709" w:rsidRPr="00F337E7" w:rsidRDefault="00AB6709" w:rsidP="00096A78">
      <w:pPr>
        <w:pStyle w:val="Heading2"/>
      </w:pPr>
      <w:r>
        <w:t>DOCUMENTS À L’APPUI</w:t>
      </w:r>
    </w:p>
    <w:sdt>
      <w:sdtPr>
        <w:rPr>
          <w:sz w:val="22"/>
          <w:szCs w:val="22"/>
        </w:rPr>
        <w:alias w:val="Documents à l’appui"/>
        <w:tag w:val="SupportingDocumentation"/>
        <w:id w:val="7903532"/>
        <w:placeholder>
          <w:docPart w:val="9D6B9CA2462A44EDBE48C517853E770D"/>
        </w:placeholder>
      </w:sdtPr>
      <w:sdtEndPr>
        <w:rPr>
          <w:sz w:val="24"/>
          <w:szCs w:val="24"/>
        </w:rPr>
      </w:sdtEndPr>
      <w:sdtContent>
        <w:p w14:paraId="3E290421" w14:textId="711803C8" w:rsidR="008A0DAD" w:rsidRPr="00336806" w:rsidRDefault="008A0DAD" w:rsidP="008A0DAD">
          <w:r>
            <w:t>Document 1 : Lettre de transmission de l’inspecteur général au président Fakirani, INV-25-100</w:t>
          </w:r>
        </w:p>
        <w:p w14:paraId="46902A66" w14:textId="2BF63A61" w:rsidR="008A0DAD" w:rsidRPr="00336806" w:rsidRDefault="008A0DAD" w:rsidP="008A0DAD">
          <w:r>
            <w:t>Document 2 : Lettre de plainte à l’inspecteur général</w:t>
          </w:r>
        </w:p>
        <w:p w14:paraId="045D9A53" w14:textId="67BAE585" w:rsidR="00423BAE" w:rsidRPr="00336806" w:rsidRDefault="00423BAE" w:rsidP="00423BAE">
          <w:r>
            <w:t>Document 3 : Politique CR-17 de la Commission – Grands événements</w:t>
          </w:r>
        </w:p>
        <w:p w14:paraId="23B75EAD" w14:textId="3ED52908" w:rsidR="008A0DAD" w:rsidRPr="00336806" w:rsidRDefault="008A0DAD" w:rsidP="008A0DAD">
          <w:r>
            <w:t>Document 4 : Procédure du chef 15 01 – Gestion des événements</w:t>
          </w:r>
        </w:p>
        <w:p w14:paraId="77552CAE" w14:textId="77777777" w:rsidR="00CD4E3B" w:rsidRPr="00336806" w:rsidRDefault="008A0DAD" w:rsidP="006D244B">
          <w:r>
            <w:t xml:space="preserve">Document 5 :  Procédure du chef 15.03 – Cadre d’intervention en cas d’incident mettant en cause un assaillant actif </w:t>
          </w:r>
        </w:p>
        <w:p w14:paraId="34DF63ED" w14:textId="7E5FC2DC" w:rsidR="00600C5F" w:rsidRPr="00336806" w:rsidRDefault="008A0DAD" w:rsidP="006D244B">
          <w:r>
            <w:t>Document 6 : Procédure du chef 15.04 – Tactique</w:t>
          </w:r>
        </w:p>
        <w:p w14:paraId="0870A36C" w14:textId="5287295E" w:rsidR="00CD4E3B" w:rsidRPr="00336806" w:rsidRDefault="00CD4E3B" w:rsidP="006D244B">
          <w:r>
            <w:t>Document 7 : Procédure du chef 15 05 – Grands événements et gestion des événements</w:t>
          </w:r>
        </w:p>
        <w:p w14:paraId="65E9F348" w14:textId="3D586D63" w:rsidR="00CD4E3B" w:rsidRPr="00336806" w:rsidRDefault="00CD4E3B" w:rsidP="006D244B">
          <w:r>
            <w:t>Document 8 : Procédure du chef 15 06 – Ordre public</w:t>
          </w:r>
        </w:p>
        <w:p w14:paraId="73CC12C5" w14:textId="5DF7B64E" w:rsidR="00CD4E3B" w:rsidRPr="00336806" w:rsidRDefault="00CD4E3B" w:rsidP="006D244B">
          <w:r>
            <w:t>Document 9 : Procédure du chef 15 07 – Contrôle préliminaire du périmètre et confinement préliminaire</w:t>
          </w:r>
        </w:p>
        <w:p w14:paraId="14629E9A" w14:textId="7CAA2BAB" w:rsidR="00CD4E3B" w:rsidRPr="00336806" w:rsidRDefault="00CD4E3B" w:rsidP="006D244B">
          <w:r>
            <w:t>Document 10 : Procédure du chef 15.08 – Procédure de déploiement rapide immédiat</w:t>
          </w:r>
        </w:p>
        <w:p w14:paraId="7569DC7F" w14:textId="74BF1E70" w:rsidR="00CD4E3B" w:rsidRPr="00336806" w:rsidRDefault="00CD4E3B" w:rsidP="006D244B">
          <w:r>
            <w:t>Document 11 : Guide d’évaluation des risques liés aux événements du SPO</w:t>
          </w:r>
        </w:p>
      </w:sdtContent>
    </w:sdt>
    <w:p w14:paraId="79095023" w14:textId="77777777" w:rsidR="00216F7A" w:rsidRPr="00F337E7" w:rsidRDefault="00216F7A" w:rsidP="00216F7A">
      <w:pPr>
        <w:pStyle w:val="Heading2"/>
      </w:pPr>
      <w:r>
        <w:t>CONCLUSION</w:t>
      </w:r>
    </w:p>
    <w:p w14:paraId="61AAEA43" w14:textId="0E515687" w:rsidR="0077233E" w:rsidRDefault="00821EB8" w:rsidP="00A5248F">
      <w:r>
        <w:t>La détresse causée par l’expérience de la plaignante et sa décision de demander des comptes au moyen du processus officiel de plaintes doivent être reconnues.</w:t>
      </w:r>
    </w:p>
    <w:p w14:paraId="3D7AE3CF" w14:textId="752AAF5A" w:rsidR="00821EB8" w:rsidRPr="00821EB8" w:rsidRDefault="00821EB8" w:rsidP="00B17FB2">
      <w:r>
        <w:t xml:space="preserve">Les informations dont dispose la Commission révèlent que les procédures du chef fournissent une approche mesurée et adaptée aux risques à l’égard de la gestion des rassemblements publics, en cohérence avec le cadre constitutionnel dans lequel s’inscrivent les services de maintien de l’ordre public. La Politique CR-17 de la </w:t>
      </w:r>
      <w:r>
        <w:lastRenderedPageBreak/>
        <w:t>Commission ne traite ni de la sécurité ni des droits des membres de la communauté se trouvant à proximité d’un rassemblement sans y participer, et ne précise pas non plus les attentes relatives à l’identification des comportements haineux lors de manifestations et la réponse à y apporter. Ces deux éléments constituent des paramètres prévisibles du contexte de maintien de l’ordre public que la politique était censée encadrer; leur absence représente une lacune que l’examen en cours de la Politique CR-17 par la Commission devrait combler. Ce travail s’inscrit dans l’engagement plus vaste de la Commission à adopter une approche de la gestion des manifestations fondée sur les droits de la personne, et les préoccupations soulevées par la présente plainte devraient en définir la portée.</w:t>
      </w:r>
    </w:p>
    <w:p w14:paraId="3ED3088E" w14:textId="2E825C55" w:rsidR="00323654" w:rsidRPr="00096A78" w:rsidRDefault="00323654" w:rsidP="0042770C">
      <w:pPr>
        <w:spacing w:after="0" w:line="240" w:lineRule="auto"/>
      </w:pPr>
    </w:p>
    <w:sectPr w:rsidR="00323654" w:rsidRPr="00096A78" w:rsidSect="00D27F5E">
      <w:type w:val="continuous"/>
      <w:pgSz w:w="12240" w:h="15840"/>
      <w:pgMar w:top="13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3B13" w14:textId="77777777" w:rsidR="00F442FF" w:rsidRDefault="00F442FF" w:rsidP="003C760B">
      <w:pPr>
        <w:spacing w:after="0" w:line="240" w:lineRule="auto"/>
      </w:pPr>
      <w:r>
        <w:separator/>
      </w:r>
    </w:p>
  </w:endnote>
  <w:endnote w:type="continuationSeparator" w:id="0">
    <w:p w14:paraId="26AE6079" w14:textId="77777777" w:rsidR="00F442FF" w:rsidRDefault="00F442FF" w:rsidP="003C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F918" w14:textId="77777777" w:rsidR="00F442FF" w:rsidRDefault="00F442FF" w:rsidP="003C760B">
      <w:pPr>
        <w:spacing w:after="0" w:line="240" w:lineRule="auto"/>
      </w:pPr>
      <w:r>
        <w:separator/>
      </w:r>
    </w:p>
  </w:footnote>
  <w:footnote w:type="continuationSeparator" w:id="0">
    <w:p w14:paraId="63AF6AEF" w14:textId="77777777" w:rsidR="00F442FF" w:rsidRDefault="00F442FF" w:rsidP="003C7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267664"/>
      <w:docPartObj>
        <w:docPartGallery w:val="Page Numbers (Top of Page)"/>
        <w:docPartUnique/>
      </w:docPartObj>
    </w:sdtPr>
    <w:sdtContent>
      <w:p w14:paraId="38404022" w14:textId="77777777" w:rsidR="008646B0" w:rsidRDefault="00C811B6" w:rsidP="003C760B">
        <w:pPr>
          <w:pStyle w:val="Header"/>
          <w:jc w:val="center"/>
        </w:pPr>
        <w:r>
          <w:fldChar w:fldCharType="begin"/>
        </w:r>
        <w:r>
          <w:instrText xml:space="preserve"> PAGE   \* MERGEFORMAT </w:instrText>
        </w:r>
        <w:r>
          <w:fldChar w:fldCharType="separate"/>
        </w:r>
        <w: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5ABC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5AE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7A2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02A9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A7C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EAB2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03B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9E88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7439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3CCE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1704"/>
    <w:multiLevelType w:val="hybridMultilevel"/>
    <w:tmpl w:val="53DC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20D558E"/>
    <w:multiLevelType w:val="hybridMultilevel"/>
    <w:tmpl w:val="D56E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32430C"/>
    <w:multiLevelType w:val="hybridMultilevel"/>
    <w:tmpl w:val="B5C0047C"/>
    <w:lvl w:ilvl="0" w:tplc="03287006">
      <w:start w:val="1"/>
      <w:numFmt w:val="lowerLetter"/>
      <w:pStyle w:val="List-Numbered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42121A5"/>
    <w:multiLevelType w:val="hybridMultilevel"/>
    <w:tmpl w:val="B930F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5067B"/>
    <w:multiLevelType w:val="hybridMultilevel"/>
    <w:tmpl w:val="8A08F0D4"/>
    <w:lvl w:ilvl="0" w:tplc="10090001">
      <w:start w:val="1"/>
      <w:numFmt w:val="bullet"/>
      <w:lvlText w:val=""/>
      <w:lvlJc w:val="left"/>
      <w:pPr>
        <w:ind w:left="81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5" w15:restartNumberingAfterBreak="0">
    <w:nsid w:val="0B696DA2"/>
    <w:multiLevelType w:val="hybridMultilevel"/>
    <w:tmpl w:val="319234D4"/>
    <w:lvl w:ilvl="0" w:tplc="10D2BB04">
      <w:start w:val="1"/>
      <w:numFmt w:val="decimal"/>
      <w:lvlText w:val="%1."/>
      <w:lvlJc w:val="left"/>
      <w:pPr>
        <w:ind w:left="360" w:hanging="360"/>
      </w:pPr>
      <w:rPr>
        <w:rFonts w:hint="default"/>
        <w:color w:val="80808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3BF4AFC"/>
    <w:multiLevelType w:val="hybridMultilevel"/>
    <w:tmpl w:val="D494B87C"/>
    <w:lvl w:ilvl="0" w:tplc="3D7076C0">
      <w:start w:val="1"/>
      <w:numFmt w:val="bullet"/>
      <w:pStyle w:val="List-Bullets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3C81ECE"/>
    <w:multiLevelType w:val="hybridMultilevel"/>
    <w:tmpl w:val="E42891EA"/>
    <w:lvl w:ilvl="0" w:tplc="362C83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94F16"/>
    <w:multiLevelType w:val="hybridMultilevel"/>
    <w:tmpl w:val="94CE2B7E"/>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9" w15:restartNumberingAfterBreak="0">
    <w:nsid w:val="2DE03433"/>
    <w:multiLevelType w:val="hybridMultilevel"/>
    <w:tmpl w:val="AD3E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C465E"/>
    <w:multiLevelType w:val="hybridMultilevel"/>
    <w:tmpl w:val="9C8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407AB"/>
    <w:multiLevelType w:val="hybridMultilevel"/>
    <w:tmpl w:val="84CC0CBC"/>
    <w:lvl w:ilvl="0" w:tplc="F9D63FEA">
      <w:start w:val="1"/>
      <w:numFmt w:val="lowerLetter"/>
      <w:lvlText w:val="(%1)"/>
      <w:lvlJc w:val="left"/>
      <w:pPr>
        <w:ind w:left="1440" w:hanging="72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BDC0177"/>
    <w:multiLevelType w:val="hybridMultilevel"/>
    <w:tmpl w:val="00DEBFB8"/>
    <w:lvl w:ilvl="0" w:tplc="9CFAD450">
      <w:start w:val="1"/>
      <w:numFmt w:val="decimal"/>
      <w:lvlText w:val="%1."/>
      <w:lvlJc w:val="left"/>
      <w:pPr>
        <w:ind w:left="36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4C7E8B"/>
    <w:multiLevelType w:val="hybridMultilevel"/>
    <w:tmpl w:val="A0543BDE"/>
    <w:lvl w:ilvl="0" w:tplc="F558F8D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F7475"/>
    <w:multiLevelType w:val="hybridMultilevel"/>
    <w:tmpl w:val="13AC21BE"/>
    <w:lvl w:ilvl="0" w:tplc="03F070E4">
      <w:start w:val="1"/>
      <w:numFmt w:val="bullet"/>
      <w:pStyle w:val="List-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02628"/>
    <w:multiLevelType w:val="hybridMultilevel"/>
    <w:tmpl w:val="FB42DC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39A4799"/>
    <w:multiLevelType w:val="hybridMultilevel"/>
    <w:tmpl w:val="0B86512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9FE7A4B"/>
    <w:multiLevelType w:val="hybridMultilevel"/>
    <w:tmpl w:val="9E0824B6"/>
    <w:lvl w:ilvl="0" w:tplc="4A2A999E">
      <w:start w:val="1"/>
      <w:numFmt w:val="bullet"/>
      <w:lvlText w:val=""/>
      <w:lvlJc w:val="left"/>
      <w:pPr>
        <w:tabs>
          <w:tab w:val="num" w:pos="760"/>
        </w:tabs>
        <w:ind w:left="760" w:hanging="40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033031"/>
    <w:multiLevelType w:val="hybridMultilevel"/>
    <w:tmpl w:val="0CE29DD8"/>
    <w:lvl w:ilvl="0" w:tplc="C21E696E">
      <w:start w:val="1"/>
      <w:numFmt w:val="decimal"/>
      <w:pStyle w:val="List-Numbered"/>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8E5086"/>
    <w:multiLevelType w:val="hybridMultilevel"/>
    <w:tmpl w:val="EF229024"/>
    <w:lvl w:ilvl="0" w:tplc="3476EAB4">
      <w:start w:val="1"/>
      <w:numFmt w:val="bullet"/>
      <w:pStyle w:val="List-Bullets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142E62"/>
    <w:multiLevelType w:val="hybridMultilevel"/>
    <w:tmpl w:val="67C46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E1E74"/>
    <w:multiLevelType w:val="hybridMultilevel"/>
    <w:tmpl w:val="060AF5D8"/>
    <w:lvl w:ilvl="0" w:tplc="61F8F0FE">
      <w:start w:val="1"/>
      <w:numFmt w:val="lowerRoman"/>
      <w:pStyle w:val="List-Numbered3"/>
      <w:lvlText w:val="%1."/>
      <w:lvlJc w:val="left"/>
      <w:pPr>
        <w:tabs>
          <w:tab w:val="num" w:pos="144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25426564">
    <w:abstractNumId w:val="27"/>
  </w:num>
  <w:num w:numId="2" w16cid:durableId="873422721">
    <w:abstractNumId w:val="30"/>
  </w:num>
  <w:num w:numId="3" w16cid:durableId="1643578769">
    <w:abstractNumId w:val="13"/>
  </w:num>
  <w:num w:numId="4" w16cid:durableId="708839627">
    <w:abstractNumId w:val="22"/>
  </w:num>
  <w:num w:numId="5" w16cid:durableId="6812491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29540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918681">
    <w:abstractNumId w:val="14"/>
  </w:num>
  <w:num w:numId="8" w16cid:durableId="1954822613">
    <w:abstractNumId w:val="26"/>
  </w:num>
  <w:num w:numId="9" w16cid:durableId="1157380580">
    <w:abstractNumId w:val="25"/>
  </w:num>
  <w:num w:numId="10" w16cid:durableId="1803303123">
    <w:abstractNumId w:val="21"/>
  </w:num>
  <w:num w:numId="11" w16cid:durableId="1591037821">
    <w:abstractNumId w:val="24"/>
  </w:num>
  <w:num w:numId="12" w16cid:durableId="55205544">
    <w:abstractNumId w:val="16"/>
  </w:num>
  <w:num w:numId="13" w16cid:durableId="1596550324">
    <w:abstractNumId w:val="29"/>
  </w:num>
  <w:num w:numId="14" w16cid:durableId="195581107">
    <w:abstractNumId w:val="28"/>
  </w:num>
  <w:num w:numId="15" w16cid:durableId="180976629">
    <w:abstractNumId w:val="12"/>
  </w:num>
  <w:num w:numId="16" w16cid:durableId="11340445">
    <w:abstractNumId w:val="31"/>
  </w:num>
  <w:num w:numId="17" w16cid:durableId="1815635529">
    <w:abstractNumId w:val="24"/>
  </w:num>
  <w:num w:numId="18" w16cid:durableId="2100514361">
    <w:abstractNumId w:val="16"/>
  </w:num>
  <w:num w:numId="19" w16cid:durableId="952976745">
    <w:abstractNumId w:val="29"/>
  </w:num>
  <w:num w:numId="20" w16cid:durableId="1658655546">
    <w:abstractNumId w:val="28"/>
  </w:num>
  <w:num w:numId="21" w16cid:durableId="1205482501">
    <w:abstractNumId w:val="12"/>
  </w:num>
  <w:num w:numId="22" w16cid:durableId="596016713">
    <w:abstractNumId w:val="31"/>
  </w:num>
  <w:num w:numId="23" w16cid:durableId="9999664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7958478">
    <w:abstractNumId w:val="15"/>
  </w:num>
  <w:num w:numId="25" w16cid:durableId="1166868937">
    <w:abstractNumId w:val="10"/>
  </w:num>
  <w:num w:numId="26" w16cid:durableId="14046029">
    <w:abstractNumId w:val="9"/>
  </w:num>
  <w:num w:numId="27" w16cid:durableId="448358626">
    <w:abstractNumId w:val="7"/>
  </w:num>
  <w:num w:numId="28" w16cid:durableId="632492147">
    <w:abstractNumId w:val="6"/>
  </w:num>
  <w:num w:numId="29" w16cid:durableId="919101274">
    <w:abstractNumId w:val="5"/>
  </w:num>
  <w:num w:numId="30" w16cid:durableId="891500908">
    <w:abstractNumId w:val="4"/>
  </w:num>
  <w:num w:numId="31" w16cid:durableId="887492695">
    <w:abstractNumId w:val="8"/>
  </w:num>
  <w:num w:numId="32" w16cid:durableId="862404383">
    <w:abstractNumId w:val="3"/>
  </w:num>
  <w:num w:numId="33" w16cid:durableId="1141195637">
    <w:abstractNumId w:val="2"/>
  </w:num>
  <w:num w:numId="34" w16cid:durableId="1966085436">
    <w:abstractNumId w:val="1"/>
  </w:num>
  <w:num w:numId="35" w16cid:durableId="571889036">
    <w:abstractNumId w:val="0"/>
  </w:num>
  <w:num w:numId="36" w16cid:durableId="1550995771">
    <w:abstractNumId w:val="17"/>
  </w:num>
  <w:num w:numId="37" w16cid:durableId="40060989">
    <w:abstractNumId w:val="11"/>
  </w:num>
  <w:num w:numId="38" w16cid:durableId="2030183487">
    <w:abstractNumId w:val="20"/>
  </w:num>
  <w:num w:numId="39" w16cid:durableId="1583642369">
    <w:abstractNumId w:val="19"/>
  </w:num>
  <w:num w:numId="40" w16cid:durableId="1051950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09"/>
    <w:rsid w:val="000029D0"/>
    <w:rsid w:val="00003A61"/>
    <w:rsid w:val="00004EAB"/>
    <w:rsid w:val="00012E0E"/>
    <w:rsid w:val="00013FE5"/>
    <w:rsid w:val="00017E0F"/>
    <w:rsid w:val="000243DE"/>
    <w:rsid w:val="0002447E"/>
    <w:rsid w:val="00042F72"/>
    <w:rsid w:val="00047B6D"/>
    <w:rsid w:val="00050DE5"/>
    <w:rsid w:val="00055F77"/>
    <w:rsid w:val="000608C2"/>
    <w:rsid w:val="000705F7"/>
    <w:rsid w:val="00076FF9"/>
    <w:rsid w:val="00077B3B"/>
    <w:rsid w:val="00092B9B"/>
    <w:rsid w:val="00096A78"/>
    <w:rsid w:val="000A06A8"/>
    <w:rsid w:val="000A1CA5"/>
    <w:rsid w:val="000A450A"/>
    <w:rsid w:val="000A6E4B"/>
    <w:rsid w:val="000B4022"/>
    <w:rsid w:val="000B71F0"/>
    <w:rsid w:val="000C33D7"/>
    <w:rsid w:val="000C590A"/>
    <w:rsid w:val="000D21CF"/>
    <w:rsid w:val="000D4F0D"/>
    <w:rsid w:val="000D7988"/>
    <w:rsid w:val="000E054C"/>
    <w:rsid w:val="000E4119"/>
    <w:rsid w:val="000E5864"/>
    <w:rsid w:val="000F6E42"/>
    <w:rsid w:val="00105506"/>
    <w:rsid w:val="0010602D"/>
    <w:rsid w:val="00106C32"/>
    <w:rsid w:val="001109E2"/>
    <w:rsid w:val="0011149E"/>
    <w:rsid w:val="00111E00"/>
    <w:rsid w:val="00112530"/>
    <w:rsid w:val="0011359C"/>
    <w:rsid w:val="001250B3"/>
    <w:rsid w:val="00134ED6"/>
    <w:rsid w:val="00142783"/>
    <w:rsid w:val="001439D4"/>
    <w:rsid w:val="00147730"/>
    <w:rsid w:val="001477C4"/>
    <w:rsid w:val="001523B3"/>
    <w:rsid w:val="00152E3A"/>
    <w:rsid w:val="0015528A"/>
    <w:rsid w:val="00155799"/>
    <w:rsid w:val="001768F2"/>
    <w:rsid w:val="00181779"/>
    <w:rsid w:val="001A2456"/>
    <w:rsid w:val="001A4414"/>
    <w:rsid w:val="001A6248"/>
    <w:rsid w:val="001A6381"/>
    <w:rsid w:val="001A6EB7"/>
    <w:rsid w:val="001B0C76"/>
    <w:rsid w:val="001B1E95"/>
    <w:rsid w:val="001B28EC"/>
    <w:rsid w:val="001B440C"/>
    <w:rsid w:val="001B4435"/>
    <w:rsid w:val="001C0A47"/>
    <w:rsid w:val="001D15E7"/>
    <w:rsid w:val="001D2AE4"/>
    <w:rsid w:val="001D63B0"/>
    <w:rsid w:val="001E4C1F"/>
    <w:rsid w:val="001E6FD1"/>
    <w:rsid w:val="001F208F"/>
    <w:rsid w:val="001F2321"/>
    <w:rsid w:val="001F6DA4"/>
    <w:rsid w:val="00206B14"/>
    <w:rsid w:val="00206C95"/>
    <w:rsid w:val="002140BF"/>
    <w:rsid w:val="00215C34"/>
    <w:rsid w:val="00216F4A"/>
    <w:rsid w:val="00216F7A"/>
    <w:rsid w:val="00217BD8"/>
    <w:rsid w:val="00222ED6"/>
    <w:rsid w:val="0023498E"/>
    <w:rsid w:val="00236713"/>
    <w:rsid w:val="00237A80"/>
    <w:rsid w:val="002402FE"/>
    <w:rsid w:val="002405A7"/>
    <w:rsid w:val="00242493"/>
    <w:rsid w:val="00257C27"/>
    <w:rsid w:val="00260F8B"/>
    <w:rsid w:val="00270428"/>
    <w:rsid w:val="002756C7"/>
    <w:rsid w:val="00283576"/>
    <w:rsid w:val="00283D26"/>
    <w:rsid w:val="00284BAD"/>
    <w:rsid w:val="00285034"/>
    <w:rsid w:val="00291CD0"/>
    <w:rsid w:val="002933ED"/>
    <w:rsid w:val="00294B3D"/>
    <w:rsid w:val="002955A0"/>
    <w:rsid w:val="002960E6"/>
    <w:rsid w:val="002A02A0"/>
    <w:rsid w:val="002A1E95"/>
    <w:rsid w:val="002B6B60"/>
    <w:rsid w:val="002C1B5C"/>
    <w:rsid w:val="002C20A1"/>
    <w:rsid w:val="002D7417"/>
    <w:rsid w:val="002D75EC"/>
    <w:rsid w:val="002E127B"/>
    <w:rsid w:val="002E57B7"/>
    <w:rsid w:val="002E70B5"/>
    <w:rsid w:val="002F1901"/>
    <w:rsid w:val="002F295D"/>
    <w:rsid w:val="002F404A"/>
    <w:rsid w:val="002F55FB"/>
    <w:rsid w:val="002F5AA2"/>
    <w:rsid w:val="002F672B"/>
    <w:rsid w:val="002F7779"/>
    <w:rsid w:val="00301290"/>
    <w:rsid w:val="00302129"/>
    <w:rsid w:val="00304CF3"/>
    <w:rsid w:val="00305C6F"/>
    <w:rsid w:val="003079B7"/>
    <w:rsid w:val="003135A2"/>
    <w:rsid w:val="003162E3"/>
    <w:rsid w:val="003216DE"/>
    <w:rsid w:val="00323654"/>
    <w:rsid w:val="003278EF"/>
    <w:rsid w:val="00334104"/>
    <w:rsid w:val="00336806"/>
    <w:rsid w:val="003516FA"/>
    <w:rsid w:val="003522A3"/>
    <w:rsid w:val="00362236"/>
    <w:rsid w:val="003641B7"/>
    <w:rsid w:val="00364C20"/>
    <w:rsid w:val="00367D17"/>
    <w:rsid w:val="00370FD1"/>
    <w:rsid w:val="00377F73"/>
    <w:rsid w:val="003920C2"/>
    <w:rsid w:val="00397F96"/>
    <w:rsid w:val="003A2EB9"/>
    <w:rsid w:val="003A314F"/>
    <w:rsid w:val="003A6C30"/>
    <w:rsid w:val="003B15E9"/>
    <w:rsid w:val="003B718F"/>
    <w:rsid w:val="003C183A"/>
    <w:rsid w:val="003C2D0E"/>
    <w:rsid w:val="003C760B"/>
    <w:rsid w:val="003D4C61"/>
    <w:rsid w:val="003D69FB"/>
    <w:rsid w:val="003E269B"/>
    <w:rsid w:val="003E334E"/>
    <w:rsid w:val="003E34CB"/>
    <w:rsid w:val="003F14F7"/>
    <w:rsid w:val="00423BAE"/>
    <w:rsid w:val="0042770C"/>
    <w:rsid w:val="00432B96"/>
    <w:rsid w:val="0043722E"/>
    <w:rsid w:val="00450A1F"/>
    <w:rsid w:val="00452088"/>
    <w:rsid w:val="00452EC9"/>
    <w:rsid w:val="004564ED"/>
    <w:rsid w:val="00465F6A"/>
    <w:rsid w:val="00471342"/>
    <w:rsid w:val="00473626"/>
    <w:rsid w:val="00473B4B"/>
    <w:rsid w:val="004760C3"/>
    <w:rsid w:val="00481ED5"/>
    <w:rsid w:val="00485680"/>
    <w:rsid w:val="004A0527"/>
    <w:rsid w:val="004B15FA"/>
    <w:rsid w:val="004B541F"/>
    <w:rsid w:val="004C2E03"/>
    <w:rsid w:val="004C3D06"/>
    <w:rsid w:val="004D670B"/>
    <w:rsid w:val="004F3519"/>
    <w:rsid w:val="004F49A6"/>
    <w:rsid w:val="004F576E"/>
    <w:rsid w:val="00504C38"/>
    <w:rsid w:val="00514581"/>
    <w:rsid w:val="005149A2"/>
    <w:rsid w:val="00516168"/>
    <w:rsid w:val="00516314"/>
    <w:rsid w:val="00517769"/>
    <w:rsid w:val="00535D28"/>
    <w:rsid w:val="00537A78"/>
    <w:rsid w:val="0055563E"/>
    <w:rsid w:val="00561EDB"/>
    <w:rsid w:val="0056646E"/>
    <w:rsid w:val="005665DE"/>
    <w:rsid w:val="005731C8"/>
    <w:rsid w:val="00573FE3"/>
    <w:rsid w:val="00585AC0"/>
    <w:rsid w:val="00587469"/>
    <w:rsid w:val="00590970"/>
    <w:rsid w:val="00591B7E"/>
    <w:rsid w:val="005935AB"/>
    <w:rsid w:val="005A1EA1"/>
    <w:rsid w:val="005A2B94"/>
    <w:rsid w:val="005A35C4"/>
    <w:rsid w:val="005B28B6"/>
    <w:rsid w:val="005B3E3E"/>
    <w:rsid w:val="005B416C"/>
    <w:rsid w:val="005B610D"/>
    <w:rsid w:val="005C3512"/>
    <w:rsid w:val="005D06AE"/>
    <w:rsid w:val="005D0F24"/>
    <w:rsid w:val="005D3B87"/>
    <w:rsid w:val="005D7F86"/>
    <w:rsid w:val="005E1777"/>
    <w:rsid w:val="005E615B"/>
    <w:rsid w:val="005E62E8"/>
    <w:rsid w:val="005E6F36"/>
    <w:rsid w:val="005F3503"/>
    <w:rsid w:val="005F4624"/>
    <w:rsid w:val="005F5DA1"/>
    <w:rsid w:val="005F6861"/>
    <w:rsid w:val="00600C5F"/>
    <w:rsid w:val="00606DB0"/>
    <w:rsid w:val="00607FE4"/>
    <w:rsid w:val="00615D31"/>
    <w:rsid w:val="006163F5"/>
    <w:rsid w:val="00624896"/>
    <w:rsid w:val="00633AB1"/>
    <w:rsid w:val="00635784"/>
    <w:rsid w:val="006430BB"/>
    <w:rsid w:val="00650902"/>
    <w:rsid w:val="00651F74"/>
    <w:rsid w:val="006532EC"/>
    <w:rsid w:val="00667E8E"/>
    <w:rsid w:val="006710AF"/>
    <w:rsid w:val="0069044C"/>
    <w:rsid w:val="006922F3"/>
    <w:rsid w:val="006A0CB0"/>
    <w:rsid w:val="006A0EBC"/>
    <w:rsid w:val="006B619C"/>
    <w:rsid w:val="006D0FC8"/>
    <w:rsid w:val="006D2126"/>
    <w:rsid w:val="006D244B"/>
    <w:rsid w:val="006F490F"/>
    <w:rsid w:val="00713587"/>
    <w:rsid w:val="00715532"/>
    <w:rsid w:val="00715B52"/>
    <w:rsid w:val="00720CE3"/>
    <w:rsid w:val="00731CF0"/>
    <w:rsid w:val="00734BA6"/>
    <w:rsid w:val="007406F1"/>
    <w:rsid w:val="00740F78"/>
    <w:rsid w:val="00743AD8"/>
    <w:rsid w:val="00743D6D"/>
    <w:rsid w:val="0074678E"/>
    <w:rsid w:val="0074684A"/>
    <w:rsid w:val="00757B9E"/>
    <w:rsid w:val="00761CCD"/>
    <w:rsid w:val="0077233E"/>
    <w:rsid w:val="007759C7"/>
    <w:rsid w:val="0077767F"/>
    <w:rsid w:val="00783490"/>
    <w:rsid w:val="007847BD"/>
    <w:rsid w:val="00787221"/>
    <w:rsid w:val="00794F2B"/>
    <w:rsid w:val="007A540B"/>
    <w:rsid w:val="007A68B2"/>
    <w:rsid w:val="007A6C43"/>
    <w:rsid w:val="007B18B8"/>
    <w:rsid w:val="007C7A62"/>
    <w:rsid w:val="007D3D36"/>
    <w:rsid w:val="007D7385"/>
    <w:rsid w:val="007D7D1E"/>
    <w:rsid w:val="007E40EC"/>
    <w:rsid w:val="007E4D19"/>
    <w:rsid w:val="007E50F7"/>
    <w:rsid w:val="008030CF"/>
    <w:rsid w:val="00804A37"/>
    <w:rsid w:val="00821EB8"/>
    <w:rsid w:val="00844D6A"/>
    <w:rsid w:val="00852EAA"/>
    <w:rsid w:val="0085700E"/>
    <w:rsid w:val="00861873"/>
    <w:rsid w:val="00862276"/>
    <w:rsid w:val="008646B0"/>
    <w:rsid w:val="0086565E"/>
    <w:rsid w:val="008835C4"/>
    <w:rsid w:val="00886B80"/>
    <w:rsid w:val="008877BE"/>
    <w:rsid w:val="00887E4B"/>
    <w:rsid w:val="00892AA3"/>
    <w:rsid w:val="00892E58"/>
    <w:rsid w:val="0089492D"/>
    <w:rsid w:val="008A0C5E"/>
    <w:rsid w:val="008A0DAD"/>
    <w:rsid w:val="008A2A93"/>
    <w:rsid w:val="008C0D43"/>
    <w:rsid w:val="008C2089"/>
    <w:rsid w:val="008D160B"/>
    <w:rsid w:val="008D33BD"/>
    <w:rsid w:val="008F3867"/>
    <w:rsid w:val="008F7CDE"/>
    <w:rsid w:val="00904A82"/>
    <w:rsid w:val="009064A7"/>
    <w:rsid w:val="00906D78"/>
    <w:rsid w:val="00917510"/>
    <w:rsid w:val="00917BFD"/>
    <w:rsid w:val="00920642"/>
    <w:rsid w:val="0092068D"/>
    <w:rsid w:val="0092158E"/>
    <w:rsid w:val="00926980"/>
    <w:rsid w:val="009465EF"/>
    <w:rsid w:val="00950A4B"/>
    <w:rsid w:val="00953771"/>
    <w:rsid w:val="00953799"/>
    <w:rsid w:val="00957637"/>
    <w:rsid w:val="0096220F"/>
    <w:rsid w:val="00962CBF"/>
    <w:rsid w:val="00963667"/>
    <w:rsid w:val="0097765C"/>
    <w:rsid w:val="00984893"/>
    <w:rsid w:val="009848F8"/>
    <w:rsid w:val="00992A42"/>
    <w:rsid w:val="00993B41"/>
    <w:rsid w:val="009969D8"/>
    <w:rsid w:val="009A3B27"/>
    <w:rsid w:val="009A7D62"/>
    <w:rsid w:val="009B21DA"/>
    <w:rsid w:val="009D00F8"/>
    <w:rsid w:val="009D2DE0"/>
    <w:rsid w:val="009D59F5"/>
    <w:rsid w:val="009E3BD9"/>
    <w:rsid w:val="009E4005"/>
    <w:rsid w:val="009E4B1F"/>
    <w:rsid w:val="009E6F0F"/>
    <w:rsid w:val="009F4168"/>
    <w:rsid w:val="009F4CBE"/>
    <w:rsid w:val="00A01726"/>
    <w:rsid w:val="00A03ADA"/>
    <w:rsid w:val="00A149F4"/>
    <w:rsid w:val="00A20A26"/>
    <w:rsid w:val="00A237E6"/>
    <w:rsid w:val="00A409E0"/>
    <w:rsid w:val="00A42A3C"/>
    <w:rsid w:val="00A46686"/>
    <w:rsid w:val="00A5218F"/>
    <w:rsid w:val="00A5248F"/>
    <w:rsid w:val="00A60535"/>
    <w:rsid w:val="00A66957"/>
    <w:rsid w:val="00A66E8C"/>
    <w:rsid w:val="00A70BB4"/>
    <w:rsid w:val="00A76D10"/>
    <w:rsid w:val="00A84E19"/>
    <w:rsid w:val="00A863FA"/>
    <w:rsid w:val="00A8751C"/>
    <w:rsid w:val="00AA0106"/>
    <w:rsid w:val="00AA1411"/>
    <w:rsid w:val="00AA2199"/>
    <w:rsid w:val="00AA68BC"/>
    <w:rsid w:val="00AB3AC4"/>
    <w:rsid w:val="00AB5F7A"/>
    <w:rsid w:val="00AB6709"/>
    <w:rsid w:val="00AB7621"/>
    <w:rsid w:val="00AB7C94"/>
    <w:rsid w:val="00AC0B45"/>
    <w:rsid w:val="00AD2A10"/>
    <w:rsid w:val="00AD2D7A"/>
    <w:rsid w:val="00AD75E5"/>
    <w:rsid w:val="00AE13CE"/>
    <w:rsid w:val="00AE2138"/>
    <w:rsid w:val="00AE49D3"/>
    <w:rsid w:val="00AE5642"/>
    <w:rsid w:val="00AF689E"/>
    <w:rsid w:val="00B1049A"/>
    <w:rsid w:val="00B10EB8"/>
    <w:rsid w:val="00B13B89"/>
    <w:rsid w:val="00B15F15"/>
    <w:rsid w:val="00B17FB2"/>
    <w:rsid w:val="00B31261"/>
    <w:rsid w:val="00B34A60"/>
    <w:rsid w:val="00B36BC9"/>
    <w:rsid w:val="00B436F5"/>
    <w:rsid w:val="00B45387"/>
    <w:rsid w:val="00B46782"/>
    <w:rsid w:val="00B47D0E"/>
    <w:rsid w:val="00B5326A"/>
    <w:rsid w:val="00B63609"/>
    <w:rsid w:val="00B70633"/>
    <w:rsid w:val="00B760E3"/>
    <w:rsid w:val="00B8665C"/>
    <w:rsid w:val="00BA17C0"/>
    <w:rsid w:val="00BB3EE9"/>
    <w:rsid w:val="00BB51B5"/>
    <w:rsid w:val="00BC1274"/>
    <w:rsid w:val="00BC37A8"/>
    <w:rsid w:val="00BC4CAC"/>
    <w:rsid w:val="00BD37B8"/>
    <w:rsid w:val="00BD39B9"/>
    <w:rsid w:val="00BD4409"/>
    <w:rsid w:val="00BD7361"/>
    <w:rsid w:val="00BE540B"/>
    <w:rsid w:val="00C009B4"/>
    <w:rsid w:val="00C02207"/>
    <w:rsid w:val="00C02369"/>
    <w:rsid w:val="00C07757"/>
    <w:rsid w:val="00C164D0"/>
    <w:rsid w:val="00C20490"/>
    <w:rsid w:val="00C31298"/>
    <w:rsid w:val="00C32E3C"/>
    <w:rsid w:val="00C36884"/>
    <w:rsid w:val="00C377FA"/>
    <w:rsid w:val="00C4169B"/>
    <w:rsid w:val="00C46CFD"/>
    <w:rsid w:val="00C54383"/>
    <w:rsid w:val="00C63B3E"/>
    <w:rsid w:val="00C653AA"/>
    <w:rsid w:val="00C75005"/>
    <w:rsid w:val="00C75B1C"/>
    <w:rsid w:val="00C80460"/>
    <w:rsid w:val="00C811B6"/>
    <w:rsid w:val="00C816CA"/>
    <w:rsid w:val="00C82AED"/>
    <w:rsid w:val="00C86829"/>
    <w:rsid w:val="00C904ED"/>
    <w:rsid w:val="00C9278D"/>
    <w:rsid w:val="00C948B6"/>
    <w:rsid w:val="00C9665F"/>
    <w:rsid w:val="00CC4EEA"/>
    <w:rsid w:val="00CC6796"/>
    <w:rsid w:val="00CC7EA6"/>
    <w:rsid w:val="00CD437D"/>
    <w:rsid w:val="00CD4E3B"/>
    <w:rsid w:val="00CD698A"/>
    <w:rsid w:val="00CD7564"/>
    <w:rsid w:val="00CE289B"/>
    <w:rsid w:val="00D00F8C"/>
    <w:rsid w:val="00D02798"/>
    <w:rsid w:val="00D033EA"/>
    <w:rsid w:val="00D034B5"/>
    <w:rsid w:val="00D05CAD"/>
    <w:rsid w:val="00D06914"/>
    <w:rsid w:val="00D10448"/>
    <w:rsid w:val="00D125A5"/>
    <w:rsid w:val="00D128E8"/>
    <w:rsid w:val="00D14437"/>
    <w:rsid w:val="00D15DC8"/>
    <w:rsid w:val="00D20E41"/>
    <w:rsid w:val="00D2723E"/>
    <w:rsid w:val="00D27F5E"/>
    <w:rsid w:val="00D43A22"/>
    <w:rsid w:val="00D51A8F"/>
    <w:rsid w:val="00D52A2E"/>
    <w:rsid w:val="00D61905"/>
    <w:rsid w:val="00D73DCB"/>
    <w:rsid w:val="00D74CF0"/>
    <w:rsid w:val="00D75C45"/>
    <w:rsid w:val="00D766EB"/>
    <w:rsid w:val="00D82F7F"/>
    <w:rsid w:val="00D83611"/>
    <w:rsid w:val="00D91C86"/>
    <w:rsid w:val="00DB4427"/>
    <w:rsid w:val="00DB6551"/>
    <w:rsid w:val="00DC4020"/>
    <w:rsid w:val="00DD2839"/>
    <w:rsid w:val="00DD485C"/>
    <w:rsid w:val="00DE0708"/>
    <w:rsid w:val="00DF381E"/>
    <w:rsid w:val="00E2379C"/>
    <w:rsid w:val="00E24B4B"/>
    <w:rsid w:val="00E404F8"/>
    <w:rsid w:val="00E44AD2"/>
    <w:rsid w:val="00E509C3"/>
    <w:rsid w:val="00E542A3"/>
    <w:rsid w:val="00E6486A"/>
    <w:rsid w:val="00E65700"/>
    <w:rsid w:val="00E71365"/>
    <w:rsid w:val="00E74844"/>
    <w:rsid w:val="00E76023"/>
    <w:rsid w:val="00E82162"/>
    <w:rsid w:val="00E8291B"/>
    <w:rsid w:val="00E95D1D"/>
    <w:rsid w:val="00EA0E38"/>
    <w:rsid w:val="00EA7BAC"/>
    <w:rsid w:val="00EA7D01"/>
    <w:rsid w:val="00EB33F0"/>
    <w:rsid w:val="00EB636D"/>
    <w:rsid w:val="00EC06CF"/>
    <w:rsid w:val="00EC6D8F"/>
    <w:rsid w:val="00ED29B0"/>
    <w:rsid w:val="00EE76F9"/>
    <w:rsid w:val="00F03549"/>
    <w:rsid w:val="00F06579"/>
    <w:rsid w:val="00F067E3"/>
    <w:rsid w:val="00F0691C"/>
    <w:rsid w:val="00F07D01"/>
    <w:rsid w:val="00F12ACE"/>
    <w:rsid w:val="00F22116"/>
    <w:rsid w:val="00F273CF"/>
    <w:rsid w:val="00F31405"/>
    <w:rsid w:val="00F337E7"/>
    <w:rsid w:val="00F42417"/>
    <w:rsid w:val="00F442FF"/>
    <w:rsid w:val="00F57879"/>
    <w:rsid w:val="00F62A8C"/>
    <w:rsid w:val="00F63362"/>
    <w:rsid w:val="00F6637F"/>
    <w:rsid w:val="00F667E6"/>
    <w:rsid w:val="00F77321"/>
    <w:rsid w:val="00F77D26"/>
    <w:rsid w:val="00F80539"/>
    <w:rsid w:val="00F81BA6"/>
    <w:rsid w:val="00F821C6"/>
    <w:rsid w:val="00F917F4"/>
    <w:rsid w:val="00FB1F46"/>
    <w:rsid w:val="00FB6812"/>
    <w:rsid w:val="00FC2B90"/>
    <w:rsid w:val="00FC65FF"/>
    <w:rsid w:val="00FD29FE"/>
    <w:rsid w:val="00FD6A97"/>
    <w:rsid w:val="00FE2340"/>
    <w:rsid w:val="00FE3D2D"/>
    <w:rsid w:val="00FF0F39"/>
    <w:rsid w:val="00FF23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2B1C"/>
  <w15:docId w15:val="{904F6C22-47E1-481E-A19A-ED5617BD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782"/>
    <w:pPr>
      <w:spacing w:before="120" w:after="120" w:line="300" w:lineRule="auto"/>
    </w:pPr>
    <w:rPr>
      <w:rFonts w:ascii="Arial" w:hAnsi="Arial"/>
      <w:color w:val="262626" w:themeColor="text1" w:themeTint="D9"/>
      <w:sz w:val="24"/>
      <w:szCs w:val="24"/>
      <w:lang w:eastAsia="en-US"/>
    </w:rPr>
  </w:style>
  <w:style w:type="paragraph" w:styleId="Heading1">
    <w:name w:val="heading 1"/>
    <w:basedOn w:val="Normal"/>
    <w:next w:val="Normal"/>
    <w:link w:val="Heading1Char"/>
    <w:autoRedefine/>
    <w:qFormat/>
    <w:rsid w:val="00B46782"/>
    <w:pPr>
      <w:ind w:left="1440" w:hanging="1440"/>
      <w:outlineLvl w:val="0"/>
    </w:pPr>
    <w:rPr>
      <w:rFonts w:eastAsiaTheme="majorEastAsia" w:cs="Arial"/>
      <w:b/>
      <w:bCs/>
      <w:kern w:val="32"/>
      <w:szCs w:val="32"/>
    </w:rPr>
  </w:style>
  <w:style w:type="paragraph" w:styleId="Heading2">
    <w:name w:val="heading 2"/>
    <w:basedOn w:val="Normal"/>
    <w:next w:val="Normal"/>
    <w:link w:val="Heading2Char"/>
    <w:autoRedefine/>
    <w:qFormat/>
    <w:rsid w:val="00B46782"/>
    <w:pPr>
      <w:keepNext/>
      <w:outlineLvl w:val="1"/>
    </w:pPr>
    <w:rPr>
      <w:rFonts w:cs="Arial"/>
      <w:b/>
      <w:bCs/>
      <w:iCs/>
      <w:szCs w:val="28"/>
    </w:rPr>
  </w:style>
  <w:style w:type="paragraph" w:styleId="Heading3">
    <w:name w:val="heading 3"/>
    <w:basedOn w:val="Normal"/>
    <w:next w:val="Normal"/>
    <w:link w:val="Heading3Char"/>
    <w:qFormat/>
    <w:rsid w:val="00C653AA"/>
    <w:pPr>
      <w:outlineLvl w:val="2"/>
    </w:pPr>
    <w:rPr>
      <w:rFonts w:cs="Arial"/>
      <w:b/>
      <w:bCs/>
      <w:szCs w:val="26"/>
    </w:rPr>
  </w:style>
  <w:style w:type="paragraph" w:styleId="Heading4">
    <w:name w:val="heading 4"/>
    <w:basedOn w:val="Normal"/>
    <w:next w:val="Normal"/>
    <w:link w:val="Heading4Char"/>
    <w:autoRedefine/>
    <w:qFormat/>
    <w:rsid w:val="00C653AA"/>
    <w:pPr>
      <w:outlineLvl w:val="3"/>
    </w:pPr>
    <w:rPr>
      <w:rFonts w:eastAsiaTheme="majorEastAsia" w:cstheme="majorBidi"/>
      <w:b/>
      <w:caps/>
    </w:rPr>
  </w:style>
  <w:style w:type="paragraph" w:styleId="Heading5">
    <w:name w:val="heading 5"/>
    <w:basedOn w:val="Normal"/>
    <w:next w:val="Normal"/>
    <w:link w:val="Heading5Char"/>
    <w:autoRedefine/>
    <w:qFormat/>
    <w:rsid w:val="00C653AA"/>
    <w:pPr>
      <w:keepNext/>
      <w:outlineLvl w:val="4"/>
    </w:pPr>
    <w:rPr>
      <w:b/>
      <w:bCs/>
      <w:iCs/>
    </w:rPr>
  </w:style>
  <w:style w:type="paragraph" w:styleId="Heading6">
    <w:name w:val="heading 6"/>
    <w:basedOn w:val="Normal"/>
    <w:next w:val="Normal"/>
    <w:link w:val="Heading6Char"/>
    <w:uiPriority w:val="9"/>
    <w:unhideWhenUsed/>
    <w:rsid w:val="00C653AA"/>
    <w:pPr>
      <w:keepNext/>
      <w:keepLines/>
      <w:spacing w:before="200"/>
      <w:outlineLvl w:val="5"/>
    </w:pPr>
    <w:rPr>
      <w:rFonts w:eastAsiaTheme="majorEastAsia" w:cstheme="majorBidi"/>
      <w:b/>
      <w:iCs/>
      <w:color w:val="000000" w:themeColor="text1"/>
    </w:rPr>
  </w:style>
  <w:style w:type="paragraph" w:styleId="Heading7">
    <w:name w:val="heading 7"/>
    <w:basedOn w:val="Normal"/>
    <w:next w:val="Normal"/>
    <w:link w:val="Heading7Char"/>
    <w:uiPriority w:val="9"/>
    <w:unhideWhenUsed/>
    <w:qFormat/>
    <w:rsid w:val="00F77D26"/>
    <w:pPr>
      <w:keepNext/>
      <w:keepLines/>
      <w:spacing w:before="200"/>
      <w:outlineLvl w:val="6"/>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653AA"/>
    <w:rPr>
      <w:rFonts w:ascii="Arial" w:hAnsi="Arial"/>
      <w:b/>
      <w:bCs/>
      <w:iCs/>
      <w:sz w:val="24"/>
      <w:szCs w:val="24"/>
      <w:lang w:eastAsia="en-US"/>
    </w:rPr>
  </w:style>
  <w:style w:type="paragraph" w:styleId="Footer">
    <w:name w:val="footer"/>
    <w:basedOn w:val="Normal"/>
    <w:link w:val="FooterChar"/>
    <w:semiHidden/>
    <w:rsid w:val="00AB6709"/>
    <w:pPr>
      <w:tabs>
        <w:tab w:val="center" w:pos="4320"/>
        <w:tab w:val="right" w:pos="8640"/>
      </w:tabs>
    </w:pPr>
  </w:style>
  <w:style w:type="character" w:customStyle="1" w:styleId="FooterChar">
    <w:name w:val="Footer Char"/>
    <w:basedOn w:val="DefaultParagraphFont"/>
    <w:link w:val="Footer"/>
    <w:semiHidden/>
    <w:rsid w:val="00AB6709"/>
    <w:rPr>
      <w:rFonts w:ascii="Times New Roman" w:eastAsia="Times New Roman" w:hAnsi="Times New Roman" w:cs="Times New Roman"/>
      <w:szCs w:val="20"/>
      <w:lang w:val="fr-CA"/>
    </w:rPr>
  </w:style>
  <w:style w:type="paragraph" w:styleId="Subtitle">
    <w:name w:val="Subtitle"/>
    <w:basedOn w:val="Normal"/>
    <w:link w:val="SubtitleChar"/>
    <w:qFormat/>
    <w:rsid w:val="00720CE3"/>
    <w:pPr>
      <w:jc w:val="center"/>
    </w:pPr>
    <w:rPr>
      <w:b/>
      <w:bCs/>
      <w:sz w:val="20"/>
      <w:u w:val="single"/>
      <w:lang w:eastAsia="en-CA"/>
    </w:rPr>
  </w:style>
  <w:style w:type="character" w:customStyle="1" w:styleId="SubtitleChar">
    <w:name w:val="Subtitle Char"/>
    <w:basedOn w:val="DefaultParagraphFont"/>
    <w:link w:val="Subtitle"/>
    <w:rsid w:val="00720CE3"/>
    <w:rPr>
      <w:rFonts w:ascii="Times New Roman" w:hAnsi="Times New Roman"/>
      <w:b/>
      <w:bCs/>
      <w:szCs w:val="24"/>
      <w:u w:val="single"/>
    </w:rPr>
  </w:style>
  <w:style w:type="paragraph" w:styleId="BodyText">
    <w:name w:val="Body Text"/>
    <w:aliases w:val="bt,BT,o"/>
    <w:basedOn w:val="Normal"/>
    <w:link w:val="BodyTextChar"/>
    <w:semiHidden/>
    <w:rsid w:val="00804A37"/>
    <w:rPr>
      <w:bCs/>
    </w:rPr>
  </w:style>
  <w:style w:type="character" w:customStyle="1" w:styleId="BodyTextChar">
    <w:name w:val="Body Text Char"/>
    <w:aliases w:val="bt Char,BT Char,o Char"/>
    <w:basedOn w:val="DefaultParagraphFont"/>
    <w:link w:val="BodyText"/>
    <w:semiHidden/>
    <w:rsid w:val="00804A37"/>
    <w:rPr>
      <w:rFonts w:ascii="Arial" w:hAnsi="Arial"/>
      <w:bCs/>
      <w:color w:val="808080" w:themeColor="background1" w:themeShade="80"/>
      <w:sz w:val="24"/>
      <w:szCs w:val="24"/>
      <w:lang w:eastAsia="en-US"/>
    </w:rPr>
  </w:style>
  <w:style w:type="paragraph" w:styleId="BodyTextIndent">
    <w:name w:val="Body Text Indent"/>
    <w:basedOn w:val="Normal"/>
    <w:link w:val="BodyTextIndentChar"/>
    <w:semiHidden/>
    <w:rsid w:val="00AB6709"/>
    <w:pPr>
      <w:tabs>
        <w:tab w:val="left" w:pos="720"/>
      </w:tabs>
      <w:ind w:left="720" w:hanging="720"/>
    </w:pPr>
    <w:rPr>
      <w:b/>
    </w:rPr>
  </w:style>
  <w:style w:type="character" w:customStyle="1" w:styleId="BodyTextIndentChar">
    <w:name w:val="Body Text Indent Char"/>
    <w:basedOn w:val="DefaultParagraphFont"/>
    <w:link w:val="BodyTextIndent"/>
    <w:semiHidden/>
    <w:rsid w:val="00AB6709"/>
    <w:rPr>
      <w:rFonts w:ascii="Times New Roman" w:eastAsia="Times New Roman" w:hAnsi="Times New Roman" w:cs="Times New Roman"/>
      <w:b/>
      <w:szCs w:val="20"/>
      <w:lang w:val="fr-CA"/>
    </w:rPr>
  </w:style>
  <w:style w:type="paragraph" w:customStyle="1" w:styleId="1AutoList19">
    <w:name w:val="1AutoList19"/>
    <w:rsid w:val="00AB6709"/>
    <w:pPr>
      <w:widowControl w:val="0"/>
      <w:tabs>
        <w:tab w:val="left" w:pos="720"/>
      </w:tabs>
      <w:overflowPunct w:val="0"/>
      <w:autoSpaceDE w:val="0"/>
      <w:autoSpaceDN w:val="0"/>
      <w:adjustRightInd w:val="0"/>
      <w:ind w:left="720" w:hanging="720"/>
      <w:jc w:val="both"/>
      <w:textAlignment w:val="baseline"/>
    </w:pPr>
  </w:style>
  <w:style w:type="paragraph" w:styleId="BodyText2">
    <w:name w:val="Body Text 2"/>
    <w:basedOn w:val="Normal"/>
    <w:link w:val="BodyText2Char"/>
    <w:uiPriority w:val="99"/>
    <w:unhideWhenUsed/>
    <w:rsid w:val="00AB6709"/>
    <w:pPr>
      <w:spacing w:line="480" w:lineRule="auto"/>
    </w:pPr>
    <w:rPr>
      <w:rFonts w:eastAsia="Calibri"/>
      <w:szCs w:val="22"/>
    </w:rPr>
  </w:style>
  <w:style w:type="character" w:customStyle="1" w:styleId="BodyText2Char">
    <w:name w:val="Body Text 2 Char"/>
    <w:basedOn w:val="DefaultParagraphFont"/>
    <w:link w:val="BodyText2"/>
    <w:uiPriority w:val="99"/>
    <w:rsid w:val="00AB6709"/>
    <w:rPr>
      <w:rFonts w:eastAsia="Calibri" w:cs="Times New Roman"/>
    </w:rPr>
  </w:style>
  <w:style w:type="character" w:customStyle="1" w:styleId="Heading3Char">
    <w:name w:val="Heading 3 Char"/>
    <w:basedOn w:val="DefaultParagraphFont"/>
    <w:link w:val="Heading3"/>
    <w:rsid w:val="00C653AA"/>
    <w:rPr>
      <w:rFonts w:ascii="Arial" w:hAnsi="Arial" w:cs="Arial"/>
      <w:b/>
      <w:bCs/>
      <w:sz w:val="24"/>
      <w:szCs w:val="26"/>
      <w:lang w:eastAsia="en-US"/>
    </w:rPr>
  </w:style>
  <w:style w:type="paragraph" w:styleId="BodyTextIndent3">
    <w:name w:val="Body Text Indent 3"/>
    <w:basedOn w:val="Normal"/>
    <w:link w:val="BodyTextIndent3Char"/>
    <w:uiPriority w:val="99"/>
    <w:unhideWhenUsed/>
    <w:rsid w:val="00AB6709"/>
    <w:pPr>
      <w:ind w:left="283"/>
    </w:pPr>
    <w:rPr>
      <w:sz w:val="16"/>
      <w:szCs w:val="16"/>
    </w:rPr>
  </w:style>
  <w:style w:type="character" w:customStyle="1" w:styleId="BodyTextIndent3Char">
    <w:name w:val="Body Text Indent 3 Char"/>
    <w:basedOn w:val="DefaultParagraphFont"/>
    <w:link w:val="BodyTextIndent3"/>
    <w:uiPriority w:val="99"/>
    <w:rsid w:val="00AB6709"/>
    <w:rPr>
      <w:rFonts w:ascii="Times New Roman" w:eastAsia="Times New Roman" w:hAnsi="Times New Roman" w:cs="Times New Roman"/>
      <w:sz w:val="16"/>
      <w:szCs w:val="16"/>
      <w:lang w:val="fr-CA"/>
    </w:rPr>
  </w:style>
  <w:style w:type="character" w:customStyle="1" w:styleId="Heading2Char">
    <w:name w:val="Heading 2 Char"/>
    <w:basedOn w:val="DefaultParagraphFont"/>
    <w:link w:val="Heading2"/>
    <w:rsid w:val="00B46782"/>
    <w:rPr>
      <w:rFonts w:ascii="Arial" w:hAnsi="Arial" w:cs="Arial"/>
      <w:b/>
      <w:bCs/>
      <w:iCs/>
      <w:sz w:val="24"/>
      <w:szCs w:val="28"/>
      <w:lang w:eastAsia="en-US"/>
    </w:rPr>
  </w:style>
  <w:style w:type="paragraph" w:styleId="ListParagraph">
    <w:name w:val="List Paragraph"/>
    <w:basedOn w:val="Normal"/>
    <w:uiPriority w:val="34"/>
    <w:qFormat/>
    <w:rsid w:val="00720CE3"/>
    <w:pPr>
      <w:ind w:left="720"/>
    </w:pPr>
    <w:rPr>
      <w:sz w:val="22"/>
      <w:szCs w:val="22"/>
    </w:rPr>
  </w:style>
  <w:style w:type="character" w:styleId="Hyperlink">
    <w:name w:val="Hyperlink"/>
    <w:basedOn w:val="DefaultParagraphFont"/>
    <w:uiPriority w:val="99"/>
    <w:unhideWhenUsed/>
    <w:rsid w:val="00EA7D01"/>
    <w:rPr>
      <w:color w:val="0000FF"/>
      <w:u w:val="single"/>
    </w:rPr>
  </w:style>
  <w:style w:type="paragraph" w:styleId="NormalWeb">
    <w:name w:val="Normal (Web)"/>
    <w:basedOn w:val="Normal"/>
    <w:uiPriority w:val="99"/>
    <w:unhideWhenUsed/>
    <w:rsid w:val="00D15DC8"/>
    <w:pPr>
      <w:spacing w:before="100" w:beforeAutospacing="1" w:after="100" w:afterAutospacing="1"/>
    </w:pPr>
    <w:rPr>
      <w:lang w:eastAsia="en-CA"/>
    </w:rPr>
  </w:style>
  <w:style w:type="character" w:styleId="PlaceholderText">
    <w:name w:val="Placeholder Text"/>
    <w:basedOn w:val="DefaultParagraphFont"/>
    <w:uiPriority w:val="99"/>
    <w:semiHidden/>
    <w:rsid w:val="00B70633"/>
    <w:rPr>
      <w:color w:val="808080"/>
    </w:rPr>
  </w:style>
  <w:style w:type="paragraph" w:styleId="BalloonText">
    <w:name w:val="Balloon Text"/>
    <w:basedOn w:val="Normal"/>
    <w:link w:val="BalloonTextChar"/>
    <w:uiPriority w:val="99"/>
    <w:semiHidden/>
    <w:unhideWhenUsed/>
    <w:rsid w:val="00B70633"/>
    <w:rPr>
      <w:rFonts w:ascii="Tahoma" w:hAnsi="Tahoma" w:cs="Tahoma"/>
      <w:sz w:val="16"/>
      <w:szCs w:val="16"/>
    </w:rPr>
  </w:style>
  <w:style w:type="character" w:customStyle="1" w:styleId="BalloonTextChar">
    <w:name w:val="Balloon Text Char"/>
    <w:basedOn w:val="DefaultParagraphFont"/>
    <w:link w:val="BalloonText"/>
    <w:uiPriority w:val="99"/>
    <w:semiHidden/>
    <w:rsid w:val="00B70633"/>
    <w:rPr>
      <w:rFonts w:ascii="Tahoma" w:eastAsia="Times New Roman" w:hAnsi="Tahoma" w:cs="Tahoma"/>
      <w:sz w:val="16"/>
      <w:szCs w:val="16"/>
      <w:lang w:eastAsia="en-US"/>
    </w:rPr>
  </w:style>
  <w:style w:type="character" w:customStyle="1" w:styleId="Heading1Char">
    <w:name w:val="Heading 1 Char"/>
    <w:basedOn w:val="DefaultParagraphFont"/>
    <w:link w:val="Heading1"/>
    <w:rsid w:val="00B46782"/>
    <w:rPr>
      <w:rFonts w:ascii="Arial" w:eastAsiaTheme="majorEastAsia" w:hAnsi="Arial" w:cs="Arial"/>
      <w:b/>
      <w:bCs/>
      <w:kern w:val="32"/>
      <w:sz w:val="24"/>
      <w:szCs w:val="32"/>
      <w:lang w:eastAsia="en-US"/>
    </w:rPr>
  </w:style>
  <w:style w:type="character" w:customStyle="1" w:styleId="Heading4Char">
    <w:name w:val="Heading 4 Char"/>
    <w:basedOn w:val="DefaultParagraphFont"/>
    <w:link w:val="Heading4"/>
    <w:rsid w:val="00C653AA"/>
    <w:rPr>
      <w:rFonts w:ascii="Arial" w:eastAsiaTheme="majorEastAsia" w:hAnsi="Arial" w:cstheme="majorBidi"/>
      <w:b/>
      <w:caps/>
      <w:sz w:val="24"/>
      <w:szCs w:val="24"/>
      <w:lang w:eastAsia="en-US"/>
    </w:rPr>
  </w:style>
  <w:style w:type="paragraph" w:styleId="Quote">
    <w:name w:val="Quote"/>
    <w:basedOn w:val="Normal"/>
    <w:next w:val="Normal"/>
    <w:link w:val="QuoteChar"/>
    <w:qFormat/>
    <w:rsid w:val="00720CE3"/>
    <w:pPr>
      <w:ind w:left="720" w:right="720"/>
    </w:pPr>
    <w:rPr>
      <w:i/>
    </w:rPr>
  </w:style>
  <w:style w:type="character" w:customStyle="1" w:styleId="QuoteChar">
    <w:name w:val="Quote Char"/>
    <w:basedOn w:val="DefaultParagraphFont"/>
    <w:link w:val="Quote"/>
    <w:rsid w:val="00720CE3"/>
    <w:rPr>
      <w:rFonts w:ascii="Arial" w:hAnsi="Arial"/>
      <w:i/>
      <w:szCs w:val="24"/>
      <w:lang w:eastAsia="en-US"/>
    </w:rPr>
  </w:style>
  <w:style w:type="paragraph" w:customStyle="1" w:styleId="HTMLPassthru">
    <w:name w:val="HTML Passthru"/>
    <w:basedOn w:val="Normal"/>
    <w:qFormat/>
    <w:rsid w:val="00720CE3"/>
    <w:rPr>
      <w:bCs/>
      <w:i/>
      <w:vanish/>
      <w:color w:val="0000FF"/>
    </w:rPr>
  </w:style>
  <w:style w:type="paragraph" w:customStyle="1" w:styleId="Image-AlignRight">
    <w:name w:val="Image-Align Right"/>
    <w:basedOn w:val="Normal"/>
    <w:next w:val="Normal"/>
    <w:qFormat/>
    <w:rsid w:val="00720CE3"/>
    <w:pPr>
      <w:jc w:val="right"/>
    </w:pPr>
  </w:style>
  <w:style w:type="paragraph" w:customStyle="1" w:styleId="Image-AlignLeft">
    <w:name w:val="Image-Align Left"/>
    <w:basedOn w:val="Normal"/>
    <w:next w:val="Normal"/>
    <w:qFormat/>
    <w:rsid w:val="00720CE3"/>
  </w:style>
  <w:style w:type="paragraph" w:customStyle="1" w:styleId="TextBox-AlignRight">
    <w:name w:val="Text Box-Align Right"/>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left="5040"/>
    </w:pPr>
  </w:style>
  <w:style w:type="paragraph" w:customStyle="1" w:styleId="TextBox-AlignLeft">
    <w:name w:val="Text Box-Align Left"/>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right="5126"/>
    </w:pPr>
  </w:style>
  <w:style w:type="paragraph" w:customStyle="1" w:styleId="TextBox-AlignCentre">
    <w:name w:val="Text Box-Align Centre"/>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left="1080" w:right="1080"/>
    </w:pPr>
  </w:style>
  <w:style w:type="paragraph" w:customStyle="1" w:styleId="Text-Centre">
    <w:name w:val="Text-Centre"/>
    <w:basedOn w:val="Normal"/>
    <w:next w:val="Normal"/>
    <w:qFormat/>
    <w:rsid w:val="00720CE3"/>
    <w:pPr>
      <w:jc w:val="center"/>
    </w:pPr>
  </w:style>
  <w:style w:type="paragraph" w:customStyle="1" w:styleId="Text-Right">
    <w:name w:val="Text-Right"/>
    <w:basedOn w:val="Normal"/>
    <w:next w:val="Normal"/>
    <w:qFormat/>
    <w:rsid w:val="00720CE3"/>
    <w:pPr>
      <w:jc w:val="right"/>
    </w:pPr>
  </w:style>
  <w:style w:type="paragraph" w:customStyle="1" w:styleId="SmallFont">
    <w:name w:val="Small Font"/>
    <w:basedOn w:val="Normal"/>
    <w:next w:val="Normal"/>
    <w:qFormat/>
    <w:rsid w:val="00720CE3"/>
    <w:rPr>
      <w:sz w:val="16"/>
    </w:rPr>
  </w:style>
  <w:style w:type="paragraph" w:customStyle="1" w:styleId="List-Bullets">
    <w:name w:val="List - Bullets"/>
    <w:qFormat/>
    <w:rsid w:val="00720CE3"/>
    <w:pPr>
      <w:numPr>
        <w:numId w:val="17"/>
      </w:numPr>
    </w:pPr>
    <w:rPr>
      <w:rFonts w:ascii="Arial" w:hAnsi="Arial"/>
      <w:lang w:eastAsia="en-US"/>
    </w:rPr>
  </w:style>
  <w:style w:type="paragraph" w:customStyle="1" w:styleId="List-Bullets2">
    <w:name w:val="List - Bullets 2"/>
    <w:basedOn w:val="Normal"/>
    <w:qFormat/>
    <w:rsid w:val="00720CE3"/>
    <w:pPr>
      <w:numPr>
        <w:numId w:val="18"/>
      </w:numPr>
    </w:pPr>
  </w:style>
  <w:style w:type="paragraph" w:customStyle="1" w:styleId="List-Bullets3">
    <w:name w:val="List - Bullets 3"/>
    <w:basedOn w:val="Normal"/>
    <w:qFormat/>
    <w:rsid w:val="00720CE3"/>
    <w:pPr>
      <w:numPr>
        <w:numId w:val="19"/>
      </w:numPr>
    </w:pPr>
  </w:style>
  <w:style w:type="paragraph" w:customStyle="1" w:styleId="List-Numbered">
    <w:name w:val="List - Numbered"/>
    <w:qFormat/>
    <w:rsid w:val="00720CE3"/>
    <w:pPr>
      <w:numPr>
        <w:numId w:val="20"/>
      </w:numPr>
    </w:pPr>
    <w:rPr>
      <w:rFonts w:ascii="Arial" w:hAnsi="Arial"/>
      <w:lang w:eastAsia="en-US"/>
    </w:rPr>
  </w:style>
  <w:style w:type="paragraph" w:customStyle="1" w:styleId="List-Numbered2">
    <w:name w:val="List - Numbered 2"/>
    <w:basedOn w:val="Normal"/>
    <w:qFormat/>
    <w:rsid w:val="00720CE3"/>
    <w:pPr>
      <w:numPr>
        <w:numId w:val="21"/>
      </w:numPr>
    </w:pPr>
  </w:style>
  <w:style w:type="paragraph" w:customStyle="1" w:styleId="List-Numbered3">
    <w:name w:val="List - Numbered 3"/>
    <w:basedOn w:val="Normal"/>
    <w:qFormat/>
    <w:rsid w:val="00720CE3"/>
    <w:pPr>
      <w:numPr>
        <w:numId w:val="22"/>
      </w:numPr>
      <w:tabs>
        <w:tab w:val="left" w:pos="1080"/>
      </w:tabs>
    </w:pPr>
  </w:style>
  <w:style w:type="paragraph" w:customStyle="1" w:styleId="RightHandLinksBegin">
    <w:name w:val="Right Hand Links Begin"/>
    <w:basedOn w:val="Normal"/>
    <w:next w:val="Normal"/>
    <w:qFormat/>
    <w:rsid w:val="00720CE3"/>
    <w:rPr>
      <w:i/>
      <w:color w:val="0000FF"/>
    </w:rPr>
  </w:style>
  <w:style w:type="paragraph" w:customStyle="1" w:styleId="top">
    <w:name w:val="[ top ]"/>
    <w:basedOn w:val="Normal"/>
    <w:next w:val="Normal"/>
    <w:qFormat/>
    <w:rsid w:val="00720CE3"/>
    <w:rPr>
      <w:b/>
      <w:color w:val="0000FF"/>
    </w:rPr>
  </w:style>
  <w:style w:type="paragraph" w:customStyle="1" w:styleId="haut">
    <w:name w:val="[ haut ]"/>
    <w:basedOn w:val="Normal"/>
    <w:next w:val="Normal"/>
    <w:qFormat/>
    <w:rsid w:val="00720CE3"/>
    <w:rPr>
      <w:b/>
      <w:color w:val="0000FF"/>
    </w:rPr>
  </w:style>
  <w:style w:type="paragraph" w:customStyle="1" w:styleId="Heading1-NewPage">
    <w:name w:val="Heading 1-New Page"/>
    <w:basedOn w:val="Normal"/>
    <w:next w:val="Normal"/>
    <w:qFormat/>
    <w:rsid w:val="00720CE3"/>
    <w:pPr>
      <w:outlineLvl w:val="0"/>
    </w:pPr>
    <w:rPr>
      <w:b/>
      <w:sz w:val="36"/>
    </w:rPr>
  </w:style>
  <w:style w:type="paragraph" w:customStyle="1" w:styleId="Heading2-NewPage">
    <w:name w:val="Heading 2-New Page"/>
    <w:basedOn w:val="Normal"/>
    <w:next w:val="Normal"/>
    <w:qFormat/>
    <w:rsid w:val="00720CE3"/>
    <w:pPr>
      <w:outlineLvl w:val="1"/>
    </w:pPr>
    <w:rPr>
      <w:b/>
      <w:sz w:val="28"/>
    </w:rPr>
  </w:style>
  <w:style w:type="paragraph" w:customStyle="1" w:styleId="Image-AlignCentre">
    <w:name w:val="Image-Align Centre"/>
    <w:basedOn w:val="Normal"/>
    <w:qFormat/>
    <w:rsid w:val="00720CE3"/>
    <w:pPr>
      <w:jc w:val="center"/>
    </w:pPr>
  </w:style>
  <w:style w:type="paragraph" w:customStyle="1" w:styleId="RightHandLinksEnd">
    <w:name w:val="Right Hand Links End"/>
    <w:basedOn w:val="Normal"/>
    <w:next w:val="Normal"/>
    <w:qFormat/>
    <w:rsid w:val="00720CE3"/>
    <w:rPr>
      <w:i/>
      <w:color w:val="0000FF"/>
    </w:rPr>
  </w:style>
  <w:style w:type="character" w:styleId="CommentReference">
    <w:name w:val="annotation reference"/>
    <w:basedOn w:val="DefaultParagraphFont"/>
    <w:uiPriority w:val="99"/>
    <w:semiHidden/>
    <w:unhideWhenUsed/>
    <w:rsid w:val="00720CE3"/>
    <w:rPr>
      <w:sz w:val="16"/>
      <w:szCs w:val="16"/>
    </w:rPr>
  </w:style>
  <w:style w:type="paragraph" w:styleId="CommentText">
    <w:name w:val="annotation text"/>
    <w:basedOn w:val="Normal"/>
    <w:link w:val="CommentTextChar"/>
    <w:uiPriority w:val="99"/>
    <w:unhideWhenUsed/>
    <w:rsid w:val="00720CE3"/>
    <w:rPr>
      <w:szCs w:val="20"/>
    </w:rPr>
  </w:style>
  <w:style w:type="character" w:customStyle="1" w:styleId="CommentTextChar">
    <w:name w:val="Comment Text Char"/>
    <w:basedOn w:val="DefaultParagraphFont"/>
    <w:link w:val="CommentText"/>
    <w:uiPriority w:val="99"/>
    <w:rsid w:val="00720CE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20CE3"/>
    <w:rPr>
      <w:b/>
      <w:bCs/>
    </w:rPr>
  </w:style>
  <w:style w:type="character" w:customStyle="1" w:styleId="CommentSubjectChar">
    <w:name w:val="Comment Subject Char"/>
    <w:basedOn w:val="CommentTextChar"/>
    <w:link w:val="CommentSubject"/>
    <w:uiPriority w:val="99"/>
    <w:semiHidden/>
    <w:rsid w:val="00720CE3"/>
    <w:rPr>
      <w:rFonts w:ascii="Arial" w:hAnsi="Arial"/>
      <w:b/>
      <w:bCs/>
      <w:lang w:eastAsia="en-US"/>
    </w:rPr>
  </w:style>
  <w:style w:type="character" w:styleId="Strong">
    <w:name w:val="Strong"/>
    <w:basedOn w:val="DefaultParagraphFont"/>
    <w:uiPriority w:val="22"/>
    <w:rsid w:val="003B718F"/>
    <w:rPr>
      <w:rFonts w:ascii="Arial" w:hAnsi="Arial"/>
      <w:b/>
      <w:bCs/>
      <w:sz w:val="24"/>
    </w:rPr>
  </w:style>
  <w:style w:type="paragraph" w:styleId="Title">
    <w:name w:val="Title"/>
    <w:basedOn w:val="Normal"/>
    <w:next w:val="Normal"/>
    <w:link w:val="TitleChar"/>
    <w:autoRedefine/>
    <w:uiPriority w:val="10"/>
    <w:rsid w:val="003B718F"/>
    <w:pPr>
      <w:spacing w:after="300"/>
      <w:contextualSpacing/>
    </w:pPr>
    <w:rPr>
      <w:rFonts w:eastAsiaTheme="majorEastAsia" w:cstheme="majorBidi"/>
      <w:b/>
      <w:caps/>
      <w:spacing w:val="5"/>
      <w:kern w:val="28"/>
      <w:szCs w:val="52"/>
    </w:rPr>
  </w:style>
  <w:style w:type="character" w:customStyle="1" w:styleId="TitleChar">
    <w:name w:val="Title Char"/>
    <w:basedOn w:val="DefaultParagraphFont"/>
    <w:link w:val="Title"/>
    <w:uiPriority w:val="10"/>
    <w:rsid w:val="003B718F"/>
    <w:rPr>
      <w:rFonts w:ascii="Arial" w:eastAsiaTheme="majorEastAsia" w:hAnsi="Arial" w:cstheme="majorBidi"/>
      <w:b/>
      <w:caps/>
      <w:spacing w:val="5"/>
      <w:kern w:val="28"/>
      <w:sz w:val="24"/>
      <w:szCs w:val="52"/>
      <w:lang w:eastAsia="en-US"/>
    </w:rPr>
  </w:style>
  <w:style w:type="character" w:customStyle="1" w:styleId="Style1">
    <w:name w:val="Style1"/>
    <w:basedOn w:val="DefaultParagraphFont"/>
    <w:uiPriority w:val="1"/>
    <w:rsid w:val="00984893"/>
  </w:style>
  <w:style w:type="character" w:customStyle="1" w:styleId="StrongBold">
    <w:name w:val="Strong Bold"/>
    <w:basedOn w:val="Strong"/>
    <w:uiPriority w:val="1"/>
    <w:rsid w:val="001250B3"/>
    <w:rPr>
      <w:rFonts w:ascii="Arial" w:hAnsi="Arial"/>
      <w:b/>
      <w:bCs/>
      <w:sz w:val="24"/>
    </w:rPr>
  </w:style>
  <w:style w:type="character" w:customStyle="1" w:styleId="ReportText">
    <w:name w:val="Report Text"/>
    <w:basedOn w:val="DefaultParagraphFont"/>
    <w:uiPriority w:val="1"/>
    <w:rsid w:val="0015528A"/>
    <w:rPr>
      <w:rFonts w:ascii="Arial" w:hAnsi="Arial"/>
      <w:sz w:val="24"/>
    </w:rPr>
  </w:style>
  <w:style w:type="character" w:styleId="FollowedHyperlink">
    <w:name w:val="FollowedHyperlink"/>
    <w:basedOn w:val="DefaultParagraphFont"/>
    <w:uiPriority w:val="99"/>
    <w:semiHidden/>
    <w:unhideWhenUsed/>
    <w:rsid w:val="00D14437"/>
    <w:rPr>
      <w:color w:val="800080" w:themeColor="followedHyperlink"/>
      <w:u w:val="single"/>
    </w:rPr>
  </w:style>
  <w:style w:type="character" w:customStyle="1" w:styleId="Heading6Char">
    <w:name w:val="Heading 6 Char"/>
    <w:basedOn w:val="DefaultParagraphFont"/>
    <w:link w:val="Heading6"/>
    <w:uiPriority w:val="9"/>
    <w:rsid w:val="00C653AA"/>
    <w:rPr>
      <w:rFonts w:ascii="Arial" w:eastAsiaTheme="majorEastAsia" w:hAnsi="Arial" w:cstheme="majorBidi"/>
      <w:b/>
      <w:iCs/>
      <w:color w:val="000000" w:themeColor="text1"/>
      <w:sz w:val="24"/>
      <w:szCs w:val="24"/>
      <w:lang w:eastAsia="en-US"/>
    </w:rPr>
  </w:style>
  <w:style w:type="character" w:customStyle="1" w:styleId="Heading7Char">
    <w:name w:val="Heading 7 Char"/>
    <w:basedOn w:val="DefaultParagraphFont"/>
    <w:link w:val="Heading7"/>
    <w:uiPriority w:val="9"/>
    <w:rsid w:val="00F77D26"/>
    <w:rPr>
      <w:rFonts w:ascii="Arial" w:eastAsiaTheme="majorEastAsia" w:hAnsi="Arial" w:cstheme="majorBidi"/>
      <w:b/>
      <w:iCs/>
      <w:sz w:val="24"/>
      <w:szCs w:val="24"/>
      <w:lang w:eastAsia="en-US"/>
    </w:rPr>
  </w:style>
  <w:style w:type="paragraph" w:customStyle="1" w:styleId="Heading1French">
    <w:name w:val="Heading 1 French"/>
    <w:basedOn w:val="Heading1"/>
    <w:qFormat/>
    <w:rsid w:val="002402FE"/>
    <w:pPr>
      <w:spacing w:after="360"/>
    </w:pPr>
  </w:style>
  <w:style w:type="paragraph" w:customStyle="1" w:styleId="Heading3French">
    <w:name w:val="Heading 3 French"/>
    <w:basedOn w:val="Heading3"/>
    <w:qFormat/>
    <w:rsid w:val="006A0EBC"/>
    <w:pPr>
      <w:spacing w:after="360"/>
    </w:pPr>
  </w:style>
  <w:style w:type="paragraph" w:styleId="Header">
    <w:name w:val="header"/>
    <w:basedOn w:val="Normal"/>
    <w:link w:val="HeaderChar"/>
    <w:uiPriority w:val="99"/>
    <w:unhideWhenUsed/>
    <w:rsid w:val="003C7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60B"/>
    <w:rPr>
      <w:rFonts w:ascii="Arial" w:hAnsi="Arial"/>
      <w:sz w:val="24"/>
      <w:szCs w:val="24"/>
      <w:lang w:eastAsia="en-US"/>
    </w:rPr>
  </w:style>
  <w:style w:type="paragraph" w:customStyle="1" w:styleId="Heading2-French">
    <w:name w:val="Heading 2 - French"/>
    <w:basedOn w:val="Heading3French"/>
    <w:autoRedefine/>
    <w:qFormat/>
    <w:rsid w:val="00096A78"/>
    <w:pPr>
      <w:spacing w:after="200"/>
    </w:pPr>
  </w:style>
  <w:style w:type="character" w:customStyle="1" w:styleId="Heading1-French">
    <w:name w:val="Heading 1 - French"/>
    <w:basedOn w:val="DefaultParagraphFont"/>
    <w:uiPriority w:val="1"/>
    <w:rsid w:val="00AB7621"/>
    <w:rPr>
      <w:rFonts w:ascii="Arial" w:hAnsi="Arial"/>
      <w:sz w:val="24"/>
    </w:rPr>
  </w:style>
  <w:style w:type="character" w:customStyle="1" w:styleId="Style2">
    <w:name w:val="Style2"/>
    <w:basedOn w:val="DefaultParagraphFont"/>
    <w:uiPriority w:val="1"/>
    <w:rsid w:val="00E24B4B"/>
    <w:rPr>
      <w:rFonts w:ascii="Arial" w:hAnsi="Arial"/>
      <w:b/>
      <w:sz w:val="24"/>
    </w:rPr>
  </w:style>
  <w:style w:type="character" w:customStyle="1" w:styleId="Style3">
    <w:name w:val="Style3"/>
    <w:basedOn w:val="DefaultParagraphFont"/>
    <w:uiPriority w:val="1"/>
    <w:rsid w:val="002756C7"/>
    <w:rPr>
      <w:b/>
    </w:rPr>
  </w:style>
  <w:style w:type="character" w:customStyle="1" w:styleId="Style4">
    <w:name w:val="Style4"/>
    <w:basedOn w:val="DefaultParagraphFont"/>
    <w:uiPriority w:val="1"/>
    <w:rsid w:val="002756C7"/>
    <w:rPr>
      <w:rFonts w:ascii="Arial" w:hAnsi="Arial"/>
      <w:b/>
      <w:sz w:val="24"/>
    </w:rPr>
  </w:style>
  <w:style w:type="character" w:customStyle="1" w:styleId="Style5">
    <w:name w:val="Style5"/>
    <w:basedOn w:val="DefaultParagraphFont"/>
    <w:uiPriority w:val="1"/>
    <w:rsid w:val="00A03ADA"/>
    <w:rPr>
      <w:rFonts w:ascii="Arial" w:hAnsi="Arial"/>
      <w:b/>
      <w:sz w:val="24"/>
    </w:rPr>
  </w:style>
  <w:style w:type="character" w:customStyle="1" w:styleId="Style6">
    <w:name w:val="Style6"/>
    <w:basedOn w:val="DefaultParagraphFont"/>
    <w:uiPriority w:val="1"/>
    <w:rsid w:val="00BD39B9"/>
    <w:rPr>
      <w:rFonts w:ascii="Arial" w:hAnsi="Arial"/>
      <w:b/>
      <w:dstrike w:val="0"/>
      <w:sz w:val="24"/>
      <w:vertAlign w:val="baseline"/>
    </w:rPr>
  </w:style>
  <w:style w:type="character" w:customStyle="1" w:styleId="Style7">
    <w:name w:val="Style7"/>
    <w:basedOn w:val="DefaultParagraphFont"/>
    <w:uiPriority w:val="1"/>
    <w:rsid w:val="00BE540B"/>
    <w:rPr>
      <w:caps/>
      <w:dstrike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400">
      <w:bodyDiv w:val="1"/>
      <w:marLeft w:val="0"/>
      <w:marRight w:val="0"/>
      <w:marTop w:val="0"/>
      <w:marBottom w:val="0"/>
      <w:divBdr>
        <w:top w:val="none" w:sz="0" w:space="0" w:color="auto"/>
        <w:left w:val="none" w:sz="0" w:space="0" w:color="auto"/>
        <w:bottom w:val="none" w:sz="0" w:space="0" w:color="auto"/>
        <w:right w:val="none" w:sz="0" w:space="0" w:color="auto"/>
      </w:divBdr>
    </w:div>
    <w:div w:id="56057925">
      <w:bodyDiv w:val="1"/>
      <w:marLeft w:val="0"/>
      <w:marRight w:val="0"/>
      <w:marTop w:val="0"/>
      <w:marBottom w:val="0"/>
      <w:divBdr>
        <w:top w:val="none" w:sz="0" w:space="0" w:color="auto"/>
        <w:left w:val="none" w:sz="0" w:space="0" w:color="auto"/>
        <w:bottom w:val="none" w:sz="0" w:space="0" w:color="auto"/>
        <w:right w:val="none" w:sz="0" w:space="0" w:color="auto"/>
      </w:divBdr>
    </w:div>
    <w:div w:id="64646175">
      <w:bodyDiv w:val="1"/>
      <w:marLeft w:val="0"/>
      <w:marRight w:val="0"/>
      <w:marTop w:val="0"/>
      <w:marBottom w:val="0"/>
      <w:divBdr>
        <w:top w:val="none" w:sz="0" w:space="0" w:color="auto"/>
        <w:left w:val="none" w:sz="0" w:space="0" w:color="auto"/>
        <w:bottom w:val="none" w:sz="0" w:space="0" w:color="auto"/>
        <w:right w:val="none" w:sz="0" w:space="0" w:color="auto"/>
      </w:divBdr>
    </w:div>
    <w:div w:id="96295711">
      <w:bodyDiv w:val="1"/>
      <w:marLeft w:val="0"/>
      <w:marRight w:val="0"/>
      <w:marTop w:val="0"/>
      <w:marBottom w:val="0"/>
      <w:divBdr>
        <w:top w:val="none" w:sz="0" w:space="0" w:color="auto"/>
        <w:left w:val="none" w:sz="0" w:space="0" w:color="auto"/>
        <w:bottom w:val="none" w:sz="0" w:space="0" w:color="auto"/>
        <w:right w:val="none" w:sz="0" w:space="0" w:color="auto"/>
      </w:divBdr>
    </w:div>
    <w:div w:id="117460142">
      <w:bodyDiv w:val="1"/>
      <w:marLeft w:val="0"/>
      <w:marRight w:val="0"/>
      <w:marTop w:val="0"/>
      <w:marBottom w:val="0"/>
      <w:divBdr>
        <w:top w:val="none" w:sz="0" w:space="0" w:color="auto"/>
        <w:left w:val="none" w:sz="0" w:space="0" w:color="auto"/>
        <w:bottom w:val="none" w:sz="0" w:space="0" w:color="auto"/>
        <w:right w:val="none" w:sz="0" w:space="0" w:color="auto"/>
      </w:divBdr>
    </w:div>
    <w:div w:id="117726618">
      <w:bodyDiv w:val="1"/>
      <w:marLeft w:val="0"/>
      <w:marRight w:val="0"/>
      <w:marTop w:val="0"/>
      <w:marBottom w:val="0"/>
      <w:divBdr>
        <w:top w:val="none" w:sz="0" w:space="0" w:color="auto"/>
        <w:left w:val="none" w:sz="0" w:space="0" w:color="auto"/>
        <w:bottom w:val="none" w:sz="0" w:space="0" w:color="auto"/>
        <w:right w:val="none" w:sz="0" w:space="0" w:color="auto"/>
      </w:divBdr>
    </w:div>
    <w:div w:id="134762522">
      <w:bodyDiv w:val="1"/>
      <w:marLeft w:val="0"/>
      <w:marRight w:val="0"/>
      <w:marTop w:val="0"/>
      <w:marBottom w:val="0"/>
      <w:divBdr>
        <w:top w:val="none" w:sz="0" w:space="0" w:color="auto"/>
        <w:left w:val="none" w:sz="0" w:space="0" w:color="auto"/>
        <w:bottom w:val="none" w:sz="0" w:space="0" w:color="auto"/>
        <w:right w:val="none" w:sz="0" w:space="0" w:color="auto"/>
      </w:divBdr>
    </w:div>
    <w:div w:id="144708428">
      <w:bodyDiv w:val="1"/>
      <w:marLeft w:val="0"/>
      <w:marRight w:val="0"/>
      <w:marTop w:val="0"/>
      <w:marBottom w:val="0"/>
      <w:divBdr>
        <w:top w:val="none" w:sz="0" w:space="0" w:color="auto"/>
        <w:left w:val="none" w:sz="0" w:space="0" w:color="auto"/>
        <w:bottom w:val="none" w:sz="0" w:space="0" w:color="auto"/>
        <w:right w:val="none" w:sz="0" w:space="0" w:color="auto"/>
      </w:divBdr>
    </w:div>
    <w:div w:id="153642488">
      <w:bodyDiv w:val="1"/>
      <w:marLeft w:val="0"/>
      <w:marRight w:val="0"/>
      <w:marTop w:val="0"/>
      <w:marBottom w:val="0"/>
      <w:divBdr>
        <w:top w:val="none" w:sz="0" w:space="0" w:color="auto"/>
        <w:left w:val="none" w:sz="0" w:space="0" w:color="auto"/>
        <w:bottom w:val="none" w:sz="0" w:space="0" w:color="auto"/>
        <w:right w:val="none" w:sz="0" w:space="0" w:color="auto"/>
      </w:divBdr>
    </w:div>
    <w:div w:id="180052715">
      <w:bodyDiv w:val="1"/>
      <w:marLeft w:val="0"/>
      <w:marRight w:val="0"/>
      <w:marTop w:val="0"/>
      <w:marBottom w:val="0"/>
      <w:divBdr>
        <w:top w:val="none" w:sz="0" w:space="0" w:color="auto"/>
        <w:left w:val="none" w:sz="0" w:space="0" w:color="auto"/>
        <w:bottom w:val="none" w:sz="0" w:space="0" w:color="auto"/>
        <w:right w:val="none" w:sz="0" w:space="0" w:color="auto"/>
      </w:divBdr>
    </w:div>
    <w:div w:id="201944222">
      <w:bodyDiv w:val="1"/>
      <w:marLeft w:val="0"/>
      <w:marRight w:val="0"/>
      <w:marTop w:val="0"/>
      <w:marBottom w:val="0"/>
      <w:divBdr>
        <w:top w:val="none" w:sz="0" w:space="0" w:color="auto"/>
        <w:left w:val="none" w:sz="0" w:space="0" w:color="auto"/>
        <w:bottom w:val="none" w:sz="0" w:space="0" w:color="auto"/>
        <w:right w:val="none" w:sz="0" w:space="0" w:color="auto"/>
      </w:divBdr>
    </w:div>
    <w:div w:id="204567433">
      <w:bodyDiv w:val="1"/>
      <w:marLeft w:val="0"/>
      <w:marRight w:val="0"/>
      <w:marTop w:val="0"/>
      <w:marBottom w:val="0"/>
      <w:divBdr>
        <w:top w:val="none" w:sz="0" w:space="0" w:color="auto"/>
        <w:left w:val="none" w:sz="0" w:space="0" w:color="auto"/>
        <w:bottom w:val="none" w:sz="0" w:space="0" w:color="auto"/>
        <w:right w:val="none" w:sz="0" w:space="0" w:color="auto"/>
      </w:divBdr>
    </w:div>
    <w:div w:id="241915611">
      <w:bodyDiv w:val="1"/>
      <w:marLeft w:val="0"/>
      <w:marRight w:val="0"/>
      <w:marTop w:val="0"/>
      <w:marBottom w:val="0"/>
      <w:divBdr>
        <w:top w:val="none" w:sz="0" w:space="0" w:color="auto"/>
        <w:left w:val="none" w:sz="0" w:space="0" w:color="auto"/>
        <w:bottom w:val="none" w:sz="0" w:space="0" w:color="auto"/>
        <w:right w:val="none" w:sz="0" w:space="0" w:color="auto"/>
      </w:divBdr>
    </w:div>
    <w:div w:id="247662611">
      <w:bodyDiv w:val="1"/>
      <w:marLeft w:val="0"/>
      <w:marRight w:val="0"/>
      <w:marTop w:val="0"/>
      <w:marBottom w:val="0"/>
      <w:divBdr>
        <w:top w:val="none" w:sz="0" w:space="0" w:color="auto"/>
        <w:left w:val="none" w:sz="0" w:space="0" w:color="auto"/>
        <w:bottom w:val="none" w:sz="0" w:space="0" w:color="auto"/>
        <w:right w:val="none" w:sz="0" w:space="0" w:color="auto"/>
      </w:divBdr>
    </w:div>
    <w:div w:id="253705384">
      <w:bodyDiv w:val="1"/>
      <w:marLeft w:val="0"/>
      <w:marRight w:val="0"/>
      <w:marTop w:val="0"/>
      <w:marBottom w:val="0"/>
      <w:divBdr>
        <w:top w:val="none" w:sz="0" w:space="0" w:color="auto"/>
        <w:left w:val="none" w:sz="0" w:space="0" w:color="auto"/>
        <w:bottom w:val="none" w:sz="0" w:space="0" w:color="auto"/>
        <w:right w:val="none" w:sz="0" w:space="0" w:color="auto"/>
      </w:divBdr>
    </w:div>
    <w:div w:id="333921491">
      <w:bodyDiv w:val="1"/>
      <w:marLeft w:val="0"/>
      <w:marRight w:val="0"/>
      <w:marTop w:val="0"/>
      <w:marBottom w:val="0"/>
      <w:divBdr>
        <w:top w:val="none" w:sz="0" w:space="0" w:color="auto"/>
        <w:left w:val="none" w:sz="0" w:space="0" w:color="auto"/>
        <w:bottom w:val="none" w:sz="0" w:space="0" w:color="auto"/>
        <w:right w:val="none" w:sz="0" w:space="0" w:color="auto"/>
      </w:divBdr>
    </w:div>
    <w:div w:id="404766747">
      <w:bodyDiv w:val="1"/>
      <w:marLeft w:val="0"/>
      <w:marRight w:val="0"/>
      <w:marTop w:val="0"/>
      <w:marBottom w:val="0"/>
      <w:divBdr>
        <w:top w:val="none" w:sz="0" w:space="0" w:color="auto"/>
        <w:left w:val="none" w:sz="0" w:space="0" w:color="auto"/>
        <w:bottom w:val="none" w:sz="0" w:space="0" w:color="auto"/>
        <w:right w:val="none" w:sz="0" w:space="0" w:color="auto"/>
      </w:divBdr>
    </w:div>
    <w:div w:id="410781579">
      <w:bodyDiv w:val="1"/>
      <w:marLeft w:val="0"/>
      <w:marRight w:val="0"/>
      <w:marTop w:val="0"/>
      <w:marBottom w:val="0"/>
      <w:divBdr>
        <w:top w:val="none" w:sz="0" w:space="0" w:color="auto"/>
        <w:left w:val="none" w:sz="0" w:space="0" w:color="auto"/>
        <w:bottom w:val="none" w:sz="0" w:space="0" w:color="auto"/>
        <w:right w:val="none" w:sz="0" w:space="0" w:color="auto"/>
      </w:divBdr>
    </w:div>
    <w:div w:id="418254969">
      <w:bodyDiv w:val="1"/>
      <w:marLeft w:val="0"/>
      <w:marRight w:val="0"/>
      <w:marTop w:val="0"/>
      <w:marBottom w:val="0"/>
      <w:divBdr>
        <w:top w:val="none" w:sz="0" w:space="0" w:color="auto"/>
        <w:left w:val="none" w:sz="0" w:space="0" w:color="auto"/>
        <w:bottom w:val="none" w:sz="0" w:space="0" w:color="auto"/>
        <w:right w:val="none" w:sz="0" w:space="0" w:color="auto"/>
      </w:divBdr>
    </w:div>
    <w:div w:id="491872888">
      <w:bodyDiv w:val="1"/>
      <w:marLeft w:val="0"/>
      <w:marRight w:val="0"/>
      <w:marTop w:val="0"/>
      <w:marBottom w:val="0"/>
      <w:divBdr>
        <w:top w:val="none" w:sz="0" w:space="0" w:color="auto"/>
        <w:left w:val="none" w:sz="0" w:space="0" w:color="auto"/>
        <w:bottom w:val="none" w:sz="0" w:space="0" w:color="auto"/>
        <w:right w:val="none" w:sz="0" w:space="0" w:color="auto"/>
      </w:divBdr>
    </w:div>
    <w:div w:id="496118709">
      <w:bodyDiv w:val="1"/>
      <w:marLeft w:val="0"/>
      <w:marRight w:val="0"/>
      <w:marTop w:val="0"/>
      <w:marBottom w:val="0"/>
      <w:divBdr>
        <w:top w:val="none" w:sz="0" w:space="0" w:color="auto"/>
        <w:left w:val="none" w:sz="0" w:space="0" w:color="auto"/>
        <w:bottom w:val="none" w:sz="0" w:space="0" w:color="auto"/>
        <w:right w:val="none" w:sz="0" w:space="0" w:color="auto"/>
      </w:divBdr>
    </w:div>
    <w:div w:id="521895485">
      <w:bodyDiv w:val="1"/>
      <w:marLeft w:val="0"/>
      <w:marRight w:val="0"/>
      <w:marTop w:val="0"/>
      <w:marBottom w:val="0"/>
      <w:divBdr>
        <w:top w:val="none" w:sz="0" w:space="0" w:color="auto"/>
        <w:left w:val="none" w:sz="0" w:space="0" w:color="auto"/>
        <w:bottom w:val="none" w:sz="0" w:space="0" w:color="auto"/>
        <w:right w:val="none" w:sz="0" w:space="0" w:color="auto"/>
      </w:divBdr>
    </w:div>
    <w:div w:id="526406415">
      <w:bodyDiv w:val="1"/>
      <w:marLeft w:val="0"/>
      <w:marRight w:val="0"/>
      <w:marTop w:val="0"/>
      <w:marBottom w:val="0"/>
      <w:divBdr>
        <w:top w:val="none" w:sz="0" w:space="0" w:color="auto"/>
        <w:left w:val="none" w:sz="0" w:space="0" w:color="auto"/>
        <w:bottom w:val="none" w:sz="0" w:space="0" w:color="auto"/>
        <w:right w:val="none" w:sz="0" w:space="0" w:color="auto"/>
      </w:divBdr>
    </w:div>
    <w:div w:id="544102695">
      <w:bodyDiv w:val="1"/>
      <w:marLeft w:val="0"/>
      <w:marRight w:val="0"/>
      <w:marTop w:val="0"/>
      <w:marBottom w:val="0"/>
      <w:divBdr>
        <w:top w:val="none" w:sz="0" w:space="0" w:color="auto"/>
        <w:left w:val="none" w:sz="0" w:space="0" w:color="auto"/>
        <w:bottom w:val="none" w:sz="0" w:space="0" w:color="auto"/>
        <w:right w:val="none" w:sz="0" w:space="0" w:color="auto"/>
      </w:divBdr>
    </w:div>
    <w:div w:id="562562258">
      <w:bodyDiv w:val="1"/>
      <w:marLeft w:val="0"/>
      <w:marRight w:val="0"/>
      <w:marTop w:val="0"/>
      <w:marBottom w:val="0"/>
      <w:divBdr>
        <w:top w:val="none" w:sz="0" w:space="0" w:color="auto"/>
        <w:left w:val="none" w:sz="0" w:space="0" w:color="auto"/>
        <w:bottom w:val="none" w:sz="0" w:space="0" w:color="auto"/>
        <w:right w:val="none" w:sz="0" w:space="0" w:color="auto"/>
      </w:divBdr>
    </w:div>
    <w:div w:id="577253754">
      <w:bodyDiv w:val="1"/>
      <w:marLeft w:val="0"/>
      <w:marRight w:val="0"/>
      <w:marTop w:val="0"/>
      <w:marBottom w:val="0"/>
      <w:divBdr>
        <w:top w:val="none" w:sz="0" w:space="0" w:color="auto"/>
        <w:left w:val="none" w:sz="0" w:space="0" w:color="auto"/>
        <w:bottom w:val="none" w:sz="0" w:space="0" w:color="auto"/>
        <w:right w:val="none" w:sz="0" w:space="0" w:color="auto"/>
      </w:divBdr>
    </w:div>
    <w:div w:id="616370096">
      <w:bodyDiv w:val="1"/>
      <w:marLeft w:val="0"/>
      <w:marRight w:val="0"/>
      <w:marTop w:val="0"/>
      <w:marBottom w:val="0"/>
      <w:divBdr>
        <w:top w:val="none" w:sz="0" w:space="0" w:color="auto"/>
        <w:left w:val="none" w:sz="0" w:space="0" w:color="auto"/>
        <w:bottom w:val="none" w:sz="0" w:space="0" w:color="auto"/>
        <w:right w:val="none" w:sz="0" w:space="0" w:color="auto"/>
      </w:divBdr>
    </w:div>
    <w:div w:id="680469684">
      <w:bodyDiv w:val="1"/>
      <w:marLeft w:val="0"/>
      <w:marRight w:val="0"/>
      <w:marTop w:val="0"/>
      <w:marBottom w:val="0"/>
      <w:divBdr>
        <w:top w:val="none" w:sz="0" w:space="0" w:color="auto"/>
        <w:left w:val="none" w:sz="0" w:space="0" w:color="auto"/>
        <w:bottom w:val="none" w:sz="0" w:space="0" w:color="auto"/>
        <w:right w:val="none" w:sz="0" w:space="0" w:color="auto"/>
      </w:divBdr>
    </w:div>
    <w:div w:id="682173241">
      <w:bodyDiv w:val="1"/>
      <w:marLeft w:val="0"/>
      <w:marRight w:val="0"/>
      <w:marTop w:val="0"/>
      <w:marBottom w:val="0"/>
      <w:divBdr>
        <w:top w:val="none" w:sz="0" w:space="0" w:color="auto"/>
        <w:left w:val="none" w:sz="0" w:space="0" w:color="auto"/>
        <w:bottom w:val="none" w:sz="0" w:space="0" w:color="auto"/>
        <w:right w:val="none" w:sz="0" w:space="0" w:color="auto"/>
      </w:divBdr>
    </w:div>
    <w:div w:id="709493536">
      <w:bodyDiv w:val="1"/>
      <w:marLeft w:val="0"/>
      <w:marRight w:val="0"/>
      <w:marTop w:val="0"/>
      <w:marBottom w:val="0"/>
      <w:divBdr>
        <w:top w:val="none" w:sz="0" w:space="0" w:color="auto"/>
        <w:left w:val="none" w:sz="0" w:space="0" w:color="auto"/>
        <w:bottom w:val="none" w:sz="0" w:space="0" w:color="auto"/>
        <w:right w:val="none" w:sz="0" w:space="0" w:color="auto"/>
      </w:divBdr>
    </w:div>
    <w:div w:id="738791521">
      <w:bodyDiv w:val="1"/>
      <w:marLeft w:val="0"/>
      <w:marRight w:val="0"/>
      <w:marTop w:val="0"/>
      <w:marBottom w:val="0"/>
      <w:divBdr>
        <w:top w:val="none" w:sz="0" w:space="0" w:color="auto"/>
        <w:left w:val="none" w:sz="0" w:space="0" w:color="auto"/>
        <w:bottom w:val="none" w:sz="0" w:space="0" w:color="auto"/>
        <w:right w:val="none" w:sz="0" w:space="0" w:color="auto"/>
      </w:divBdr>
    </w:div>
    <w:div w:id="841434503">
      <w:bodyDiv w:val="1"/>
      <w:marLeft w:val="0"/>
      <w:marRight w:val="0"/>
      <w:marTop w:val="0"/>
      <w:marBottom w:val="0"/>
      <w:divBdr>
        <w:top w:val="none" w:sz="0" w:space="0" w:color="auto"/>
        <w:left w:val="none" w:sz="0" w:space="0" w:color="auto"/>
        <w:bottom w:val="none" w:sz="0" w:space="0" w:color="auto"/>
        <w:right w:val="none" w:sz="0" w:space="0" w:color="auto"/>
      </w:divBdr>
    </w:div>
    <w:div w:id="848064919">
      <w:bodyDiv w:val="1"/>
      <w:marLeft w:val="0"/>
      <w:marRight w:val="0"/>
      <w:marTop w:val="0"/>
      <w:marBottom w:val="0"/>
      <w:divBdr>
        <w:top w:val="none" w:sz="0" w:space="0" w:color="auto"/>
        <w:left w:val="none" w:sz="0" w:space="0" w:color="auto"/>
        <w:bottom w:val="none" w:sz="0" w:space="0" w:color="auto"/>
        <w:right w:val="none" w:sz="0" w:space="0" w:color="auto"/>
      </w:divBdr>
    </w:div>
    <w:div w:id="857886231">
      <w:bodyDiv w:val="1"/>
      <w:marLeft w:val="0"/>
      <w:marRight w:val="0"/>
      <w:marTop w:val="0"/>
      <w:marBottom w:val="0"/>
      <w:divBdr>
        <w:top w:val="none" w:sz="0" w:space="0" w:color="auto"/>
        <w:left w:val="none" w:sz="0" w:space="0" w:color="auto"/>
        <w:bottom w:val="none" w:sz="0" w:space="0" w:color="auto"/>
        <w:right w:val="none" w:sz="0" w:space="0" w:color="auto"/>
      </w:divBdr>
    </w:div>
    <w:div w:id="897787968">
      <w:bodyDiv w:val="1"/>
      <w:marLeft w:val="0"/>
      <w:marRight w:val="0"/>
      <w:marTop w:val="0"/>
      <w:marBottom w:val="0"/>
      <w:divBdr>
        <w:top w:val="none" w:sz="0" w:space="0" w:color="auto"/>
        <w:left w:val="none" w:sz="0" w:space="0" w:color="auto"/>
        <w:bottom w:val="none" w:sz="0" w:space="0" w:color="auto"/>
        <w:right w:val="none" w:sz="0" w:space="0" w:color="auto"/>
      </w:divBdr>
    </w:div>
    <w:div w:id="903687307">
      <w:bodyDiv w:val="1"/>
      <w:marLeft w:val="0"/>
      <w:marRight w:val="0"/>
      <w:marTop w:val="0"/>
      <w:marBottom w:val="0"/>
      <w:divBdr>
        <w:top w:val="none" w:sz="0" w:space="0" w:color="auto"/>
        <w:left w:val="none" w:sz="0" w:space="0" w:color="auto"/>
        <w:bottom w:val="none" w:sz="0" w:space="0" w:color="auto"/>
        <w:right w:val="none" w:sz="0" w:space="0" w:color="auto"/>
      </w:divBdr>
    </w:div>
    <w:div w:id="917133683">
      <w:bodyDiv w:val="1"/>
      <w:marLeft w:val="0"/>
      <w:marRight w:val="0"/>
      <w:marTop w:val="0"/>
      <w:marBottom w:val="0"/>
      <w:divBdr>
        <w:top w:val="none" w:sz="0" w:space="0" w:color="auto"/>
        <w:left w:val="none" w:sz="0" w:space="0" w:color="auto"/>
        <w:bottom w:val="none" w:sz="0" w:space="0" w:color="auto"/>
        <w:right w:val="none" w:sz="0" w:space="0" w:color="auto"/>
      </w:divBdr>
    </w:div>
    <w:div w:id="938565587">
      <w:bodyDiv w:val="1"/>
      <w:marLeft w:val="0"/>
      <w:marRight w:val="0"/>
      <w:marTop w:val="0"/>
      <w:marBottom w:val="0"/>
      <w:divBdr>
        <w:top w:val="none" w:sz="0" w:space="0" w:color="auto"/>
        <w:left w:val="none" w:sz="0" w:space="0" w:color="auto"/>
        <w:bottom w:val="none" w:sz="0" w:space="0" w:color="auto"/>
        <w:right w:val="none" w:sz="0" w:space="0" w:color="auto"/>
      </w:divBdr>
    </w:div>
    <w:div w:id="962345410">
      <w:bodyDiv w:val="1"/>
      <w:marLeft w:val="0"/>
      <w:marRight w:val="0"/>
      <w:marTop w:val="0"/>
      <w:marBottom w:val="0"/>
      <w:divBdr>
        <w:top w:val="none" w:sz="0" w:space="0" w:color="auto"/>
        <w:left w:val="none" w:sz="0" w:space="0" w:color="auto"/>
        <w:bottom w:val="none" w:sz="0" w:space="0" w:color="auto"/>
        <w:right w:val="none" w:sz="0" w:space="0" w:color="auto"/>
      </w:divBdr>
    </w:div>
    <w:div w:id="972952308">
      <w:bodyDiv w:val="1"/>
      <w:marLeft w:val="0"/>
      <w:marRight w:val="0"/>
      <w:marTop w:val="0"/>
      <w:marBottom w:val="0"/>
      <w:divBdr>
        <w:top w:val="none" w:sz="0" w:space="0" w:color="auto"/>
        <w:left w:val="none" w:sz="0" w:space="0" w:color="auto"/>
        <w:bottom w:val="none" w:sz="0" w:space="0" w:color="auto"/>
        <w:right w:val="none" w:sz="0" w:space="0" w:color="auto"/>
      </w:divBdr>
    </w:div>
    <w:div w:id="977416893">
      <w:bodyDiv w:val="1"/>
      <w:marLeft w:val="0"/>
      <w:marRight w:val="0"/>
      <w:marTop w:val="0"/>
      <w:marBottom w:val="0"/>
      <w:divBdr>
        <w:top w:val="none" w:sz="0" w:space="0" w:color="auto"/>
        <w:left w:val="none" w:sz="0" w:space="0" w:color="auto"/>
        <w:bottom w:val="none" w:sz="0" w:space="0" w:color="auto"/>
        <w:right w:val="none" w:sz="0" w:space="0" w:color="auto"/>
      </w:divBdr>
    </w:div>
    <w:div w:id="995652062">
      <w:bodyDiv w:val="1"/>
      <w:marLeft w:val="0"/>
      <w:marRight w:val="0"/>
      <w:marTop w:val="0"/>
      <w:marBottom w:val="0"/>
      <w:divBdr>
        <w:top w:val="none" w:sz="0" w:space="0" w:color="auto"/>
        <w:left w:val="none" w:sz="0" w:space="0" w:color="auto"/>
        <w:bottom w:val="none" w:sz="0" w:space="0" w:color="auto"/>
        <w:right w:val="none" w:sz="0" w:space="0" w:color="auto"/>
      </w:divBdr>
    </w:div>
    <w:div w:id="1013921787">
      <w:bodyDiv w:val="1"/>
      <w:marLeft w:val="0"/>
      <w:marRight w:val="0"/>
      <w:marTop w:val="0"/>
      <w:marBottom w:val="0"/>
      <w:divBdr>
        <w:top w:val="none" w:sz="0" w:space="0" w:color="auto"/>
        <w:left w:val="none" w:sz="0" w:space="0" w:color="auto"/>
        <w:bottom w:val="none" w:sz="0" w:space="0" w:color="auto"/>
        <w:right w:val="none" w:sz="0" w:space="0" w:color="auto"/>
      </w:divBdr>
    </w:div>
    <w:div w:id="1063067017">
      <w:bodyDiv w:val="1"/>
      <w:marLeft w:val="0"/>
      <w:marRight w:val="0"/>
      <w:marTop w:val="0"/>
      <w:marBottom w:val="0"/>
      <w:divBdr>
        <w:top w:val="none" w:sz="0" w:space="0" w:color="auto"/>
        <w:left w:val="none" w:sz="0" w:space="0" w:color="auto"/>
        <w:bottom w:val="none" w:sz="0" w:space="0" w:color="auto"/>
        <w:right w:val="none" w:sz="0" w:space="0" w:color="auto"/>
      </w:divBdr>
      <w:divsChild>
        <w:div w:id="133156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148816">
      <w:bodyDiv w:val="1"/>
      <w:marLeft w:val="0"/>
      <w:marRight w:val="0"/>
      <w:marTop w:val="0"/>
      <w:marBottom w:val="0"/>
      <w:divBdr>
        <w:top w:val="none" w:sz="0" w:space="0" w:color="auto"/>
        <w:left w:val="none" w:sz="0" w:space="0" w:color="auto"/>
        <w:bottom w:val="none" w:sz="0" w:space="0" w:color="auto"/>
        <w:right w:val="none" w:sz="0" w:space="0" w:color="auto"/>
      </w:divBdr>
    </w:div>
    <w:div w:id="1107578674">
      <w:bodyDiv w:val="1"/>
      <w:marLeft w:val="0"/>
      <w:marRight w:val="0"/>
      <w:marTop w:val="0"/>
      <w:marBottom w:val="0"/>
      <w:divBdr>
        <w:top w:val="none" w:sz="0" w:space="0" w:color="auto"/>
        <w:left w:val="none" w:sz="0" w:space="0" w:color="auto"/>
        <w:bottom w:val="none" w:sz="0" w:space="0" w:color="auto"/>
        <w:right w:val="none" w:sz="0" w:space="0" w:color="auto"/>
      </w:divBdr>
    </w:div>
    <w:div w:id="1207065914">
      <w:bodyDiv w:val="1"/>
      <w:marLeft w:val="0"/>
      <w:marRight w:val="0"/>
      <w:marTop w:val="0"/>
      <w:marBottom w:val="0"/>
      <w:divBdr>
        <w:top w:val="none" w:sz="0" w:space="0" w:color="auto"/>
        <w:left w:val="none" w:sz="0" w:space="0" w:color="auto"/>
        <w:bottom w:val="none" w:sz="0" w:space="0" w:color="auto"/>
        <w:right w:val="none" w:sz="0" w:space="0" w:color="auto"/>
      </w:divBdr>
    </w:div>
    <w:div w:id="1220164595">
      <w:bodyDiv w:val="1"/>
      <w:marLeft w:val="0"/>
      <w:marRight w:val="0"/>
      <w:marTop w:val="0"/>
      <w:marBottom w:val="0"/>
      <w:divBdr>
        <w:top w:val="none" w:sz="0" w:space="0" w:color="auto"/>
        <w:left w:val="none" w:sz="0" w:space="0" w:color="auto"/>
        <w:bottom w:val="none" w:sz="0" w:space="0" w:color="auto"/>
        <w:right w:val="none" w:sz="0" w:space="0" w:color="auto"/>
      </w:divBdr>
    </w:div>
    <w:div w:id="1229850612">
      <w:bodyDiv w:val="1"/>
      <w:marLeft w:val="0"/>
      <w:marRight w:val="0"/>
      <w:marTop w:val="0"/>
      <w:marBottom w:val="0"/>
      <w:divBdr>
        <w:top w:val="none" w:sz="0" w:space="0" w:color="auto"/>
        <w:left w:val="none" w:sz="0" w:space="0" w:color="auto"/>
        <w:bottom w:val="none" w:sz="0" w:space="0" w:color="auto"/>
        <w:right w:val="none" w:sz="0" w:space="0" w:color="auto"/>
      </w:divBdr>
    </w:div>
    <w:div w:id="1245996185">
      <w:bodyDiv w:val="1"/>
      <w:marLeft w:val="0"/>
      <w:marRight w:val="0"/>
      <w:marTop w:val="0"/>
      <w:marBottom w:val="0"/>
      <w:divBdr>
        <w:top w:val="none" w:sz="0" w:space="0" w:color="auto"/>
        <w:left w:val="none" w:sz="0" w:space="0" w:color="auto"/>
        <w:bottom w:val="none" w:sz="0" w:space="0" w:color="auto"/>
        <w:right w:val="none" w:sz="0" w:space="0" w:color="auto"/>
      </w:divBdr>
    </w:div>
    <w:div w:id="1261138748">
      <w:bodyDiv w:val="1"/>
      <w:marLeft w:val="0"/>
      <w:marRight w:val="0"/>
      <w:marTop w:val="0"/>
      <w:marBottom w:val="0"/>
      <w:divBdr>
        <w:top w:val="none" w:sz="0" w:space="0" w:color="auto"/>
        <w:left w:val="none" w:sz="0" w:space="0" w:color="auto"/>
        <w:bottom w:val="none" w:sz="0" w:space="0" w:color="auto"/>
        <w:right w:val="none" w:sz="0" w:space="0" w:color="auto"/>
      </w:divBdr>
    </w:div>
    <w:div w:id="1280340139">
      <w:bodyDiv w:val="1"/>
      <w:marLeft w:val="0"/>
      <w:marRight w:val="0"/>
      <w:marTop w:val="0"/>
      <w:marBottom w:val="0"/>
      <w:divBdr>
        <w:top w:val="none" w:sz="0" w:space="0" w:color="auto"/>
        <w:left w:val="none" w:sz="0" w:space="0" w:color="auto"/>
        <w:bottom w:val="none" w:sz="0" w:space="0" w:color="auto"/>
        <w:right w:val="none" w:sz="0" w:space="0" w:color="auto"/>
      </w:divBdr>
    </w:div>
    <w:div w:id="1293247290">
      <w:bodyDiv w:val="1"/>
      <w:marLeft w:val="0"/>
      <w:marRight w:val="0"/>
      <w:marTop w:val="0"/>
      <w:marBottom w:val="0"/>
      <w:divBdr>
        <w:top w:val="none" w:sz="0" w:space="0" w:color="auto"/>
        <w:left w:val="none" w:sz="0" w:space="0" w:color="auto"/>
        <w:bottom w:val="none" w:sz="0" w:space="0" w:color="auto"/>
        <w:right w:val="none" w:sz="0" w:space="0" w:color="auto"/>
      </w:divBdr>
    </w:div>
    <w:div w:id="1302686425">
      <w:bodyDiv w:val="1"/>
      <w:marLeft w:val="0"/>
      <w:marRight w:val="0"/>
      <w:marTop w:val="0"/>
      <w:marBottom w:val="0"/>
      <w:divBdr>
        <w:top w:val="none" w:sz="0" w:space="0" w:color="auto"/>
        <w:left w:val="none" w:sz="0" w:space="0" w:color="auto"/>
        <w:bottom w:val="none" w:sz="0" w:space="0" w:color="auto"/>
        <w:right w:val="none" w:sz="0" w:space="0" w:color="auto"/>
      </w:divBdr>
    </w:div>
    <w:div w:id="1335838270">
      <w:bodyDiv w:val="1"/>
      <w:marLeft w:val="0"/>
      <w:marRight w:val="0"/>
      <w:marTop w:val="0"/>
      <w:marBottom w:val="0"/>
      <w:divBdr>
        <w:top w:val="none" w:sz="0" w:space="0" w:color="auto"/>
        <w:left w:val="none" w:sz="0" w:space="0" w:color="auto"/>
        <w:bottom w:val="none" w:sz="0" w:space="0" w:color="auto"/>
        <w:right w:val="none" w:sz="0" w:space="0" w:color="auto"/>
      </w:divBdr>
    </w:div>
    <w:div w:id="1412652735">
      <w:bodyDiv w:val="1"/>
      <w:marLeft w:val="0"/>
      <w:marRight w:val="0"/>
      <w:marTop w:val="0"/>
      <w:marBottom w:val="0"/>
      <w:divBdr>
        <w:top w:val="none" w:sz="0" w:space="0" w:color="auto"/>
        <w:left w:val="none" w:sz="0" w:space="0" w:color="auto"/>
        <w:bottom w:val="none" w:sz="0" w:space="0" w:color="auto"/>
        <w:right w:val="none" w:sz="0" w:space="0" w:color="auto"/>
      </w:divBdr>
    </w:div>
    <w:div w:id="1412893453">
      <w:bodyDiv w:val="1"/>
      <w:marLeft w:val="0"/>
      <w:marRight w:val="0"/>
      <w:marTop w:val="0"/>
      <w:marBottom w:val="0"/>
      <w:divBdr>
        <w:top w:val="none" w:sz="0" w:space="0" w:color="auto"/>
        <w:left w:val="none" w:sz="0" w:space="0" w:color="auto"/>
        <w:bottom w:val="none" w:sz="0" w:space="0" w:color="auto"/>
        <w:right w:val="none" w:sz="0" w:space="0" w:color="auto"/>
      </w:divBdr>
    </w:div>
    <w:div w:id="1422025824">
      <w:bodyDiv w:val="1"/>
      <w:marLeft w:val="0"/>
      <w:marRight w:val="0"/>
      <w:marTop w:val="0"/>
      <w:marBottom w:val="0"/>
      <w:divBdr>
        <w:top w:val="none" w:sz="0" w:space="0" w:color="auto"/>
        <w:left w:val="none" w:sz="0" w:space="0" w:color="auto"/>
        <w:bottom w:val="none" w:sz="0" w:space="0" w:color="auto"/>
        <w:right w:val="none" w:sz="0" w:space="0" w:color="auto"/>
      </w:divBdr>
    </w:div>
    <w:div w:id="1430272311">
      <w:bodyDiv w:val="1"/>
      <w:marLeft w:val="0"/>
      <w:marRight w:val="0"/>
      <w:marTop w:val="0"/>
      <w:marBottom w:val="0"/>
      <w:divBdr>
        <w:top w:val="none" w:sz="0" w:space="0" w:color="auto"/>
        <w:left w:val="none" w:sz="0" w:space="0" w:color="auto"/>
        <w:bottom w:val="none" w:sz="0" w:space="0" w:color="auto"/>
        <w:right w:val="none" w:sz="0" w:space="0" w:color="auto"/>
      </w:divBdr>
    </w:div>
    <w:div w:id="1454515552">
      <w:bodyDiv w:val="1"/>
      <w:marLeft w:val="0"/>
      <w:marRight w:val="0"/>
      <w:marTop w:val="0"/>
      <w:marBottom w:val="0"/>
      <w:divBdr>
        <w:top w:val="none" w:sz="0" w:space="0" w:color="auto"/>
        <w:left w:val="none" w:sz="0" w:space="0" w:color="auto"/>
        <w:bottom w:val="none" w:sz="0" w:space="0" w:color="auto"/>
        <w:right w:val="none" w:sz="0" w:space="0" w:color="auto"/>
      </w:divBdr>
    </w:div>
    <w:div w:id="1476948128">
      <w:bodyDiv w:val="1"/>
      <w:marLeft w:val="0"/>
      <w:marRight w:val="0"/>
      <w:marTop w:val="0"/>
      <w:marBottom w:val="0"/>
      <w:divBdr>
        <w:top w:val="none" w:sz="0" w:space="0" w:color="auto"/>
        <w:left w:val="none" w:sz="0" w:space="0" w:color="auto"/>
        <w:bottom w:val="none" w:sz="0" w:space="0" w:color="auto"/>
        <w:right w:val="none" w:sz="0" w:space="0" w:color="auto"/>
      </w:divBdr>
    </w:div>
    <w:div w:id="1480881830">
      <w:bodyDiv w:val="1"/>
      <w:marLeft w:val="0"/>
      <w:marRight w:val="0"/>
      <w:marTop w:val="0"/>
      <w:marBottom w:val="0"/>
      <w:divBdr>
        <w:top w:val="none" w:sz="0" w:space="0" w:color="auto"/>
        <w:left w:val="none" w:sz="0" w:space="0" w:color="auto"/>
        <w:bottom w:val="none" w:sz="0" w:space="0" w:color="auto"/>
        <w:right w:val="none" w:sz="0" w:space="0" w:color="auto"/>
      </w:divBdr>
    </w:div>
    <w:div w:id="1509523292">
      <w:bodyDiv w:val="1"/>
      <w:marLeft w:val="0"/>
      <w:marRight w:val="0"/>
      <w:marTop w:val="0"/>
      <w:marBottom w:val="0"/>
      <w:divBdr>
        <w:top w:val="none" w:sz="0" w:space="0" w:color="auto"/>
        <w:left w:val="none" w:sz="0" w:space="0" w:color="auto"/>
        <w:bottom w:val="none" w:sz="0" w:space="0" w:color="auto"/>
        <w:right w:val="none" w:sz="0" w:space="0" w:color="auto"/>
      </w:divBdr>
    </w:div>
    <w:div w:id="1519080923">
      <w:bodyDiv w:val="1"/>
      <w:marLeft w:val="0"/>
      <w:marRight w:val="0"/>
      <w:marTop w:val="0"/>
      <w:marBottom w:val="0"/>
      <w:divBdr>
        <w:top w:val="none" w:sz="0" w:space="0" w:color="auto"/>
        <w:left w:val="none" w:sz="0" w:space="0" w:color="auto"/>
        <w:bottom w:val="none" w:sz="0" w:space="0" w:color="auto"/>
        <w:right w:val="none" w:sz="0" w:space="0" w:color="auto"/>
      </w:divBdr>
    </w:div>
    <w:div w:id="1574195362">
      <w:bodyDiv w:val="1"/>
      <w:marLeft w:val="0"/>
      <w:marRight w:val="0"/>
      <w:marTop w:val="0"/>
      <w:marBottom w:val="0"/>
      <w:divBdr>
        <w:top w:val="none" w:sz="0" w:space="0" w:color="auto"/>
        <w:left w:val="none" w:sz="0" w:space="0" w:color="auto"/>
        <w:bottom w:val="none" w:sz="0" w:space="0" w:color="auto"/>
        <w:right w:val="none" w:sz="0" w:space="0" w:color="auto"/>
      </w:divBdr>
    </w:div>
    <w:div w:id="1647660564">
      <w:bodyDiv w:val="1"/>
      <w:marLeft w:val="0"/>
      <w:marRight w:val="0"/>
      <w:marTop w:val="0"/>
      <w:marBottom w:val="0"/>
      <w:divBdr>
        <w:top w:val="none" w:sz="0" w:space="0" w:color="auto"/>
        <w:left w:val="none" w:sz="0" w:space="0" w:color="auto"/>
        <w:bottom w:val="none" w:sz="0" w:space="0" w:color="auto"/>
        <w:right w:val="none" w:sz="0" w:space="0" w:color="auto"/>
      </w:divBdr>
    </w:div>
    <w:div w:id="1674869174">
      <w:bodyDiv w:val="1"/>
      <w:marLeft w:val="0"/>
      <w:marRight w:val="0"/>
      <w:marTop w:val="0"/>
      <w:marBottom w:val="0"/>
      <w:divBdr>
        <w:top w:val="none" w:sz="0" w:space="0" w:color="auto"/>
        <w:left w:val="none" w:sz="0" w:space="0" w:color="auto"/>
        <w:bottom w:val="none" w:sz="0" w:space="0" w:color="auto"/>
        <w:right w:val="none" w:sz="0" w:space="0" w:color="auto"/>
      </w:divBdr>
    </w:div>
    <w:div w:id="1682009056">
      <w:bodyDiv w:val="1"/>
      <w:marLeft w:val="0"/>
      <w:marRight w:val="0"/>
      <w:marTop w:val="0"/>
      <w:marBottom w:val="0"/>
      <w:divBdr>
        <w:top w:val="none" w:sz="0" w:space="0" w:color="auto"/>
        <w:left w:val="none" w:sz="0" w:space="0" w:color="auto"/>
        <w:bottom w:val="none" w:sz="0" w:space="0" w:color="auto"/>
        <w:right w:val="none" w:sz="0" w:space="0" w:color="auto"/>
      </w:divBdr>
    </w:div>
    <w:div w:id="1697733793">
      <w:bodyDiv w:val="1"/>
      <w:marLeft w:val="0"/>
      <w:marRight w:val="0"/>
      <w:marTop w:val="0"/>
      <w:marBottom w:val="0"/>
      <w:divBdr>
        <w:top w:val="none" w:sz="0" w:space="0" w:color="auto"/>
        <w:left w:val="none" w:sz="0" w:space="0" w:color="auto"/>
        <w:bottom w:val="none" w:sz="0" w:space="0" w:color="auto"/>
        <w:right w:val="none" w:sz="0" w:space="0" w:color="auto"/>
      </w:divBdr>
    </w:div>
    <w:div w:id="1731535135">
      <w:bodyDiv w:val="1"/>
      <w:marLeft w:val="0"/>
      <w:marRight w:val="0"/>
      <w:marTop w:val="0"/>
      <w:marBottom w:val="0"/>
      <w:divBdr>
        <w:top w:val="none" w:sz="0" w:space="0" w:color="auto"/>
        <w:left w:val="none" w:sz="0" w:space="0" w:color="auto"/>
        <w:bottom w:val="none" w:sz="0" w:space="0" w:color="auto"/>
        <w:right w:val="none" w:sz="0" w:space="0" w:color="auto"/>
      </w:divBdr>
      <w:divsChild>
        <w:div w:id="437406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836751">
      <w:bodyDiv w:val="1"/>
      <w:marLeft w:val="0"/>
      <w:marRight w:val="0"/>
      <w:marTop w:val="0"/>
      <w:marBottom w:val="0"/>
      <w:divBdr>
        <w:top w:val="none" w:sz="0" w:space="0" w:color="auto"/>
        <w:left w:val="none" w:sz="0" w:space="0" w:color="auto"/>
        <w:bottom w:val="none" w:sz="0" w:space="0" w:color="auto"/>
        <w:right w:val="none" w:sz="0" w:space="0" w:color="auto"/>
      </w:divBdr>
    </w:div>
    <w:div w:id="1745832087">
      <w:bodyDiv w:val="1"/>
      <w:marLeft w:val="0"/>
      <w:marRight w:val="0"/>
      <w:marTop w:val="0"/>
      <w:marBottom w:val="0"/>
      <w:divBdr>
        <w:top w:val="none" w:sz="0" w:space="0" w:color="auto"/>
        <w:left w:val="none" w:sz="0" w:space="0" w:color="auto"/>
        <w:bottom w:val="none" w:sz="0" w:space="0" w:color="auto"/>
        <w:right w:val="none" w:sz="0" w:space="0" w:color="auto"/>
      </w:divBdr>
    </w:div>
    <w:div w:id="1750271160">
      <w:bodyDiv w:val="1"/>
      <w:marLeft w:val="0"/>
      <w:marRight w:val="0"/>
      <w:marTop w:val="0"/>
      <w:marBottom w:val="0"/>
      <w:divBdr>
        <w:top w:val="none" w:sz="0" w:space="0" w:color="auto"/>
        <w:left w:val="none" w:sz="0" w:space="0" w:color="auto"/>
        <w:bottom w:val="none" w:sz="0" w:space="0" w:color="auto"/>
        <w:right w:val="none" w:sz="0" w:space="0" w:color="auto"/>
      </w:divBdr>
    </w:div>
    <w:div w:id="1775438881">
      <w:bodyDiv w:val="1"/>
      <w:marLeft w:val="0"/>
      <w:marRight w:val="0"/>
      <w:marTop w:val="0"/>
      <w:marBottom w:val="0"/>
      <w:divBdr>
        <w:top w:val="none" w:sz="0" w:space="0" w:color="auto"/>
        <w:left w:val="none" w:sz="0" w:space="0" w:color="auto"/>
        <w:bottom w:val="none" w:sz="0" w:space="0" w:color="auto"/>
        <w:right w:val="none" w:sz="0" w:space="0" w:color="auto"/>
      </w:divBdr>
    </w:div>
    <w:div w:id="1782797531">
      <w:bodyDiv w:val="1"/>
      <w:marLeft w:val="0"/>
      <w:marRight w:val="0"/>
      <w:marTop w:val="0"/>
      <w:marBottom w:val="0"/>
      <w:divBdr>
        <w:top w:val="none" w:sz="0" w:space="0" w:color="auto"/>
        <w:left w:val="none" w:sz="0" w:space="0" w:color="auto"/>
        <w:bottom w:val="none" w:sz="0" w:space="0" w:color="auto"/>
        <w:right w:val="none" w:sz="0" w:space="0" w:color="auto"/>
      </w:divBdr>
    </w:div>
    <w:div w:id="1798598625">
      <w:bodyDiv w:val="1"/>
      <w:marLeft w:val="0"/>
      <w:marRight w:val="0"/>
      <w:marTop w:val="0"/>
      <w:marBottom w:val="0"/>
      <w:divBdr>
        <w:top w:val="none" w:sz="0" w:space="0" w:color="auto"/>
        <w:left w:val="none" w:sz="0" w:space="0" w:color="auto"/>
        <w:bottom w:val="none" w:sz="0" w:space="0" w:color="auto"/>
        <w:right w:val="none" w:sz="0" w:space="0" w:color="auto"/>
      </w:divBdr>
    </w:div>
    <w:div w:id="1827166536">
      <w:bodyDiv w:val="1"/>
      <w:marLeft w:val="0"/>
      <w:marRight w:val="0"/>
      <w:marTop w:val="0"/>
      <w:marBottom w:val="0"/>
      <w:divBdr>
        <w:top w:val="none" w:sz="0" w:space="0" w:color="auto"/>
        <w:left w:val="none" w:sz="0" w:space="0" w:color="auto"/>
        <w:bottom w:val="none" w:sz="0" w:space="0" w:color="auto"/>
        <w:right w:val="none" w:sz="0" w:space="0" w:color="auto"/>
      </w:divBdr>
    </w:div>
    <w:div w:id="1834025893">
      <w:bodyDiv w:val="1"/>
      <w:marLeft w:val="0"/>
      <w:marRight w:val="0"/>
      <w:marTop w:val="0"/>
      <w:marBottom w:val="0"/>
      <w:divBdr>
        <w:top w:val="none" w:sz="0" w:space="0" w:color="auto"/>
        <w:left w:val="none" w:sz="0" w:space="0" w:color="auto"/>
        <w:bottom w:val="none" w:sz="0" w:space="0" w:color="auto"/>
        <w:right w:val="none" w:sz="0" w:space="0" w:color="auto"/>
      </w:divBdr>
    </w:div>
    <w:div w:id="1839880822">
      <w:bodyDiv w:val="1"/>
      <w:marLeft w:val="0"/>
      <w:marRight w:val="0"/>
      <w:marTop w:val="0"/>
      <w:marBottom w:val="0"/>
      <w:divBdr>
        <w:top w:val="none" w:sz="0" w:space="0" w:color="auto"/>
        <w:left w:val="none" w:sz="0" w:space="0" w:color="auto"/>
        <w:bottom w:val="none" w:sz="0" w:space="0" w:color="auto"/>
        <w:right w:val="none" w:sz="0" w:space="0" w:color="auto"/>
      </w:divBdr>
    </w:div>
    <w:div w:id="1892764701">
      <w:bodyDiv w:val="1"/>
      <w:marLeft w:val="0"/>
      <w:marRight w:val="0"/>
      <w:marTop w:val="0"/>
      <w:marBottom w:val="0"/>
      <w:divBdr>
        <w:top w:val="none" w:sz="0" w:space="0" w:color="auto"/>
        <w:left w:val="none" w:sz="0" w:space="0" w:color="auto"/>
        <w:bottom w:val="none" w:sz="0" w:space="0" w:color="auto"/>
        <w:right w:val="none" w:sz="0" w:space="0" w:color="auto"/>
      </w:divBdr>
    </w:div>
    <w:div w:id="1916360355">
      <w:bodyDiv w:val="1"/>
      <w:marLeft w:val="0"/>
      <w:marRight w:val="0"/>
      <w:marTop w:val="0"/>
      <w:marBottom w:val="0"/>
      <w:divBdr>
        <w:top w:val="none" w:sz="0" w:space="0" w:color="auto"/>
        <w:left w:val="none" w:sz="0" w:space="0" w:color="auto"/>
        <w:bottom w:val="none" w:sz="0" w:space="0" w:color="auto"/>
        <w:right w:val="none" w:sz="0" w:space="0" w:color="auto"/>
      </w:divBdr>
    </w:div>
    <w:div w:id="1916934440">
      <w:bodyDiv w:val="1"/>
      <w:marLeft w:val="0"/>
      <w:marRight w:val="0"/>
      <w:marTop w:val="0"/>
      <w:marBottom w:val="0"/>
      <w:divBdr>
        <w:top w:val="none" w:sz="0" w:space="0" w:color="auto"/>
        <w:left w:val="none" w:sz="0" w:space="0" w:color="auto"/>
        <w:bottom w:val="none" w:sz="0" w:space="0" w:color="auto"/>
        <w:right w:val="none" w:sz="0" w:space="0" w:color="auto"/>
      </w:divBdr>
    </w:div>
    <w:div w:id="1920210494">
      <w:bodyDiv w:val="1"/>
      <w:marLeft w:val="0"/>
      <w:marRight w:val="0"/>
      <w:marTop w:val="0"/>
      <w:marBottom w:val="0"/>
      <w:divBdr>
        <w:top w:val="none" w:sz="0" w:space="0" w:color="auto"/>
        <w:left w:val="none" w:sz="0" w:space="0" w:color="auto"/>
        <w:bottom w:val="none" w:sz="0" w:space="0" w:color="auto"/>
        <w:right w:val="none" w:sz="0" w:space="0" w:color="auto"/>
      </w:divBdr>
    </w:div>
    <w:div w:id="1963220771">
      <w:bodyDiv w:val="1"/>
      <w:marLeft w:val="0"/>
      <w:marRight w:val="0"/>
      <w:marTop w:val="0"/>
      <w:marBottom w:val="0"/>
      <w:divBdr>
        <w:top w:val="none" w:sz="0" w:space="0" w:color="auto"/>
        <w:left w:val="none" w:sz="0" w:space="0" w:color="auto"/>
        <w:bottom w:val="none" w:sz="0" w:space="0" w:color="auto"/>
        <w:right w:val="none" w:sz="0" w:space="0" w:color="auto"/>
      </w:divBdr>
    </w:div>
    <w:div w:id="1988241893">
      <w:bodyDiv w:val="1"/>
      <w:marLeft w:val="0"/>
      <w:marRight w:val="0"/>
      <w:marTop w:val="0"/>
      <w:marBottom w:val="0"/>
      <w:divBdr>
        <w:top w:val="none" w:sz="0" w:space="0" w:color="auto"/>
        <w:left w:val="none" w:sz="0" w:space="0" w:color="auto"/>
        <w:bottom w:val="none" w:sz="0" w:space="0" w:color="auto"/>
        <w:right w:val="none" w:sz="0" w:space="0" w:color="auto"/>
      </w:divBdr>
    </w:div>
    <w:div w:id="2006740658">
      <w:bodyDiv w:val="1"/>
      <w:marLeft w:val="0"/>
      <w:marRight w:val="0"/>
      <w:marTop w:val="0"/>
      <w:marBottom w:val="0"/>
      <w:divBdr>
        <w:top w:val="none" w:sz="0" w:space="0" w:color="auto"/>
        <w:left w:val="none" w:sz="0" w:space="0" w:color="auto"/>
        <w:bottom w:val="none" w:sz="0" w:space="0" w:color="auto"/>
        <w:right w:val="none" w:sz="0" w:space="0" w:color="auto"/>
      </w:divBdr>
    </w:div>
    <w:div w:id="2036688914">
      <w:bodyDiv w:val="1"/>
      <w:marLeft w:val="0"/>
      <w:marRight w:val="0"/>
      <w:marTop w:val="0"/>
      <w:marBottom w:val="0"/>
      <w:divBdr>
        <w:top w:val="none" w:sz="0" w:space="0" w:color="auto"/>
        <w:left w:val="none" w:sz="0" w:space="0" w:color="auto"/>
        <w:bottom w:val="none" w:sz="0" w:space="0" w:color="auto"/>
        <w:right w:val="none" w:sz="0" w:space="0" w:color="auto"/>
      </w:divBdr>
    </w:div>
    <w:div w:id="2057462618">
      <w:bodyDiv w:val="1"/>
      <w:marLeft w:val="0"/>
      <w:marRight w:val="0"/>
      <w:marTop w:val="0"/>
      <w:marBottom w:val="0"/>
      <w:divBdr>
        <w:top w:val="none" w:sz="0" w:space="0" w:color="auto"/>
        <w:left w:val="none" w:sz="0" w:space="0" w:color="auto"/>
        <w:bottom w:val="none" w:sz="0" w:space="0" w:color="auto"/>
        <w:right w:val="none" w:sz="0" w:space="0" w:color="auto"/>
      </w:divBdr>
    </w:div>
    <w:div w:id="2063478483">
      <w:bodyDiv w:val="1"/>
      <w:marLeft w:val="0"/>
      <w:marRight w:val="0"/>
      <w:marTop w:val="0"/>
      <w:marBottom w:val="0"/>
      <w:divBdr>
        <w:top w:val="none" w:sz="0" w:space="0" w:color="auto"/>
        <w:left w:val="none" w:sz="0" w:space="0" w:color="auto"/>
        <w:bottom w:val="none" w:sz="0" w:space="0" w:color="auto"/>
        <w:right w:val="none" w:sz="0" w:space="0" w:color="auto"/>
      </w:divBdr>
    </w:div>
    <w:div w:id="2086415030">
      <w:bodyDiv w:val="1"/>
      <w:marLeft w:val="0"/>
      <w:marRight w:val="0"/>
      <w:marTop w:val="0"/>
      <w:marBottom w:val="0"/>
      <w:divBdr>
        <w:top w:val="none" w:sz="0" w:space="0" w:color="auto"/>
        <w:left w:val="none" w:sz="0" w:space="0" w:color="auto"/>
        <w:bottom w:val="none" w:sz="0" w:space="0" w:color="auto"/>
        <w:right w:val="none" w:sz="0" w:space="0" w:color="auto"/>
      </w:divBdr>
    </w:div>
    <w:div w:id="21058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AA972D3A5454494CF43135AE01477"/>
        <w:category>
          <w:name w:val="General"/>
          <w:gallery w:val="placeholder"/>
        </w:category>
        <w:types>
          <w:type w:val="bbPlcHdr"/>
        </w:types>
        <w:behaviors>
          <w:behavior w:val="content"/>
        </w:behaviors>
        <w:guid w:val="{F2FF1DF0-8E00-408D-A097-8252233073B7}"/>
      </w:docPartPr>
      <w:docPartBody>
        <w:p w:rsidR="007B13C5" w:rsidRDefault="00235BD1" w:rsidP="00712DA1">
          <w:pPr>
            <w:pStyle w:val="A19AA972D3A5454494CF43135AE0147746"/>
          </w:pPr>
          <w:r w:rsidRPr="00F337E7">
            <w:t>The introductory paragraphs are a brief statement of the problem or issue.  If the matter has previously been considered a brief “history” or chronology of the item should be provided, including dates on which the item was considered, by whom, and motions/decisions made at those meetings.</w:t>
          </w:r>
          <w:r>
            <w:t xml:space="preserve"> </w:t>
          </w:r>
          <w:r w:rsidRPr="00F63362">
            <w:t xml:space="preserve"> </w:t>
          </w:r>
          <w:r w:rsidRPr="00F337E7">
            <w:t>If appropriate, it should mention who has requested that the matter be considered, and may also reference any overriding considerations that will limit the nature of the review or the scope of the report.</w:t>
          </w:r>
        </w:p>
      </w:docPartBody>
    </w:docPart>
    <w:docPart>
      <w:docPartPr>
        <w:name w:val="DB77374044BF46E5AE4887B68890986C"/>
        <w:category>
          <w:name w:val="General"/>
          <w:gallery w:val="placeholder"/>
        </w:category>
        <w:types>
          <w:type w:val="bbPlcHdr"/>
        </w:types>
        <w:behaviors>
          <w:behavior w:val="content"/>
        </w:behaviors>
        <w:guid w:val="{5B75B5F0-85EF-4731-881C-D4E029B54BE0}"/>
      </w:docPartPr>
      <w:docPartBody>
        <w:p w:rsidR="007B13C5" w:rsidRDefault="00235BD1" w:rsidP="00235BD1">
          <w:pPr>
            <w:pStyle w:val="DB77374044BF46E5AE4887B68890986C156"/>
          </w:pPr>
          <w:r w:rsidRPr="00F337E7">
            <w:rPr>
              <w:rStyle w:val="PlaceholderText"/>
            </w:rPr>
            <w:t>This section sets out an analysis of the topic.  It may be beneficial to present this information under sub-headings if there is a great deal of information.  To ensure that the formatting meets the accessibility requirements, if you are including a sub-heading, please use black colour, Arial 12, Bold, Lower Case</w:t>
          </w:r>
          <w:r>
            <w:rPr>
              <w:rStyle w:val="PlaceholderText"/>
            </w:rPr>
            <w:t>; do not use underlining or italics.</w:t>
          </w:r>
          <w:r w:rsidRPr="00F337E7">
            <w:rPr>
              <w:rStyle w:val="PlaceholderText"/>
            </w:rPr>
            <w:t xml:space="preserve">  Any options considered by staff should be presented, including options that were considered but not recommended.  Any benchmarking (i.e. standards, comparison with standards in industry and/or other municipalities) or reviews of best practices (i.e. other policies, programs and processes that are similar to those being processed) should be noted in this section.</w:t>
          </w:r>
        </w:p>
      </w:docPartBody>
    </w:docPart>
    <w:docPart>
      <w:docPartPr>
        <w:name w:val="E7A1BB587EB04ED58188380687264ED8"/>
        <w:category>
          <w:name w:val="General"/>
          <w:gallery w:val="placeholder"/>
        </w:category>
        <w:types>
          <w:type w:val="bbPlcHdr"/>
        </w:types>
        <w:behaviors>
          <w:behavior w:val="content"/>
        </w:behaviors>
        <w:guid w:val="{E8EDE3B3-27E2-42A4-9F14-2E6582F896F6}"/>
      </w:docPartPr>
      <w:docPartBody>
        <w:p w:rsidR="007B13C5" w:rsidRDefault="00235BD1" w:rsidP="00235BD1">
          <w:pPr>
            <w:pStyle w:val="E7A1BB587EB04ED58188380687264ED8156"/>
          </w:pPr>
          <w:r w:rsidRPr="00F337E7">
            <w:rPr>
              <w:rStyle w:val="PlaceholderText"/>
            </w:rPr>
            <w:t>All reports should contain a “Consultation” heading.  Consultation should be considered for every project that has an impact on the public.  This includes, but is not limited to, consultation with the membership, public, City staff, City Councillors if their ward will be affected, local community associations or business improvement associations.  If consultation has occurred, a concise summary of the process followed and the input obtained should be provided, in addition to staff’s response to the input.  If no consultation occurred, this can be indicated along with a brief explanation of why it was not required.</w:t>
          </w:r>
        </w:p>
      </w:docPartBody>
    </w:docPart>
    <w:docPart>
      <w:docPartPr>
        <w:name w:val="018A3A63D21547D0A2E9D6C63FF40233"/>
        <w:category>
          <w:name w:val="General"/>
          <w:gallery w:val="placeholder"/>
        </w:category>
        <w:types>
          <w:type w:val="bbPlcHdr"/>
        </w:types>
        <w:behaviors>
          <w:behavior w:val="content"/>
        </w:behaviors>
        <w:guid w:val="{8F8C5ABB-3912-4CD1-B157-2C79DCB80D08}"/>
      </w:docPartPr>
      <w:docPartBody>
        <w:p w:rsidR="007B13C5" w:rsidRDefault="00235BD1" w:rsidP="00235BD1">
          <w:pPr>
            <w:pStyle w:val="018A3A63D21547D0A2E9D6C63FF40233154"/>
          </w:pPr>
          <w:r w:rsidRPr="00F337E7">
            <w:rPr>
              <w:rStyle w:val="PlaceholderText"/>
            </w:rPr>
            <w:t xml:space="preserve">The financial implications of recommendations (and alternatives if applicable) are essential in order for Board members to make informed decisions.  All reports in which an expenditure is requested must include a “Financial Implications” section.  All reports requesting an expenditure must be reviewed by the Director-General prior to submission.  This section should note the budgetary line item from which payment will be made.  If there are no financial implications, a comment to that effect should be provided. </w:t>
          </w:r>
        </w:p>
      </w:docPartBody>
    </w:docPart>
    <w:docPart>
      <w:docPartPr>
        <w:name w:val="9D6B9CA2462A44EDBE48C517853E770D"/>
        <w:category>
          <w:name w:val="General"/>
          <w:gallery w:val="placeholder"/>
        </w:category>
        <w:types>
          <w:type w:val="bbPlcHdr"/>
        </w:types>
        <w:behaviors>
          <w:behavior w:val="content"/>
        </w:behaviors>
        <w:guid w:val="{2E62A8F7-F518-4BA8-BC42-60CE3449EDED}"/>
      </w:docPartPr>
      <w:docPartBody>
        <w:p w:rsidR="00C44723" w:rsidRDefault="00235BD1" w:rsidP="00235BD1">
          <w:pPr>
            <w:pStyle w:val="9D6B9CA2462A44EDBE48C517853E770D152"/>
          </w:pPr>
          <w:r w:rsidRPr="00F337E7">
            <w:rPr>
              <w:rStyle w:val="PlaceholderText"/>
            </w:rPr>
            <w:t>This section is OPTIONAL</w:t>
          </w:r>
          <w:r>
            <w:rPr>
              <w:rStyle w:val="PlaceholderText"/>
            </w:rPr>
            <w:t xml:space="preserve"> and is to be used if there are attachments to the report</w:t>
          </w:r>
          <w:r w:rsidRPr="00F337E7">
            <w:rPr>
              <w:rStyle w:val="PlaceholderText"/>
            </w:rPr>
            <w:t>.  If there is supporting documentation, the documents should be labelled Document 1, Document 2, etc.</w:t>
          </w:r>
          <w:r>
            <w:rPr>
              <w:rStyle w:val="PlaceholderText"/>
            </w:rPr>
            <w:t xml:space="preserve"> (instead of Annex or Appendix).</w:t>
          </w:r>
        </w:p>
      </w:docPartBody>
    </w:docPart>
    <w:docPart>
      <w:docPartPr>
        <w:name w:val="9B112308E1564EFEA70B30D481B3008F"/>
        <w:category>
          <w:name w:val="General"/>
          <w:gallery w:val="placeholder"/>
        </w:category>
        <w:types>
          <w:type w:val="bbPlcHdr"/>
        </w:types>
        <w:behaviors>
          <w:behavior w:val="content"/>
        </w:behaviors>
        <w:guid w:val="{0F44DE2E-61AB-434C-89D0-F7AD6C88EC2E}"/>
      </w:docPartPr>
      <w:docPartBody>
        <w:p w:rsidR="004203B2" w:rsidRDefault="00235BD1" w:rsidP="00235BD1">
          <w:pPr>
            <w:pStyle w:val="9B112308E1564EFEA70B30D481B3008F149"/>
          </w:pPr>
          <w:r w:rsidRPr="00F337E7">
            <w:rPr>
              <w:rStyle w:val="Heading2Char"/>
            </w:rPr>
            <w:t>Name, Job Title, Department</w:t>
          </w:r>
        </w:p>
      </w:docPartBody>
    </w:docPart>
    <w:docPart>
      <w:docPartPr>
        <w:name w:val="F85E2C550DC74022A28553DCF9C65DE3"/>
        <w:category>
          <w:name w:val="General"/>
          <w:gallery w:val="placeholder"/>
        </w:category>
        <w:types>
          <w:type w:val="bbPlcHdr"/>
        </w:types>
        <w:behaviors>
          <w:behavior w:val="content"/>
        </w:behaviors>
        <w:guid w:val="{147A11AD-C83C-45D5-B26D-1AAB6048FB14}"/>
      </w:docPartPr>
      <w:docPartBody>
        <w:p w:rsidR="004203B2" w:rsidRDefault="00235BD1" w:rsidP="008335FE">
          <w:pPr>
            <w:pStyle w:val="F85E2C550DC74022A28553DCF9C65DE342"/>
          </w:pPr>
          <w:r w:rsidRPr="00F337E7">
            <w:t>Email Address</w:t>
          </w:r>
        </w:p>
      </w:docPartBody>
    </w:docPart>
    <w:docPart>
      <w:docPartPr>
        <w:name w:val="9D172055159A4968A6D9913159CB3F20"/>
        <w:category>
          <w:name w:val="General"/>
          <w:gallery w:val="placeholder"/>
        </w:category>
        <w:types>
          <w:type w:val="bbPlcHdr"/>
        </w:types>
        <w:behaviors>
          <w:behavior w:val="content"/>
        </w:behaviors>
        <w:guid w:val="{F06A8D7F-43FB-4E8E-8971-ED16531222C0}"/>
      </w:docPartPr>
      <w:docPartBody>
        <w:p w:rsidR="009C2B17" w:rsidRDefault="00235BD1" w:rsidP="00235BD1">
          <w:pPr>
            <w:pStyle w:val="9D172055159A4968A6D9913159CB3F2072"/>
          </w:pPr>
          <w:r w:rsidRPr="009D59F5">
            <w:rPr>
              <w:rStyle w:val="PlaceholderText"/>
            </w:rPr>
            <w:t>Select meeting date.</w:t>
          </w:r>
        </w:p>
      </w:docPartBody>
    </w:docPart>
    <w:docPart>
      <w:docPartPr>
        <w:name w:val="7F19337E8D9542C7BD146DE499C8D3A2"/>
        <w:category>
          <w:name w:val="General"/>
          <w:gallery w:val="placeholder"/>
        </w:category>
        <w:types>
          <w:type w:val="bbPlcHdr"/>
        </w:types>
        <w:behaviors>
          <w:behavior w:val="content"/>
        </w:behaviors>
        <w:guid w:val="{B465859C-6D07-4CEC-B433-DAF3641EA94E}"/>
      </w:docPartPr>
      <w:docPartBody>
        <w:p w:rsidR="00121AB0" w:rsidRDefault="00235BD1" w:rsidP="00235BD1">
          <w:pPr>
            <w:pStyle w:val="7F19337E8D9542C7BD146DE499C8D3A261"/>
          </w:pPr>
          <w:r w:rsidRPr="00F337E7">
            <w:rPr>
              <w:rStyle w:val="PlaceholderText"/>
            </w:rPr>
            <w:t>Choose a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704"/>
    <w:multiLevelType w:val="hybridMultilevel"/>
    <w:tmpl w:val="53DC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696DA2"/>
    <w:multiLevelType w:val="hybridMultilevel"/>
    <w:tmpl w:val="319234D4"/>
    <w:lvl w:ilvl="0" w:tplc="10D2BB04">
      <w:start w:val="1"/>
      <w:numFmt w:val="decimal"/>
      <w:lvlText w:val="%1."/>
      <w:lvlJc w:val="left"/>
      <w:pPr>
        <w:ind w:left="360" w:hanging="360"/>
      </w:pPr>
      <w:rPr>
        <w:rFonts w:hint="default"/>
        <w:color w:val="80808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407381648">
    <w:abstractNumId w:val="1"/>
  </w:num>
  <w:num w:numId="2" w16cid:durableId="8906496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D5B2D"/>
    <w:rsid w:val="00000B4F"/>
    <w:rsid w:val="00074596"/>
    <w:rsid w:val="000C1DBB"/>
    <w:rsid w:val="000E2026"/>
    <w:rsid w:val="000F58EE"/>
    <w:rsid w:val="00121AB0"/>
    <w:rsid w:val="00146BA1"/>
    <w:rsid w:val="00165477"/>
    <w:rsid w:val="00173E0B"/>
    <w:rsid w:val="0019436F"/>
    <w:rsid w:val="001A7806"/>
    <w:rsid w:val="00233E4D"/>
    <w:rsid w:val="00235BD1"/>
    <w:rsid w:val="002C7A56"/>
    <w:rsid w:val="003069A6"/>
    <w:rsid w:val="00310547"/>
    <w:rsid w:val="00320EB8"/>
    <w:rsid w:val="003359C8"/>
    <w:rsid w:val="00353703"/>
    <w:rsid w:val="00361BBE"/>
    <w:rsid w:val="003B323B"/>
    <w:rsid w:val="003B6762"/>
    <w:rsid w:val="003C18BA"/>
    <w:rsid w:val="003D5B2D"/>
    <w:rsid w:val="00417500"/>
    <w:rsid w:val="004203B2"/>
    <w:rsid w:val="0043769B"/>
    <w:rsid w:val="00441369"/>
    <w:rsid w:val="004429C8"/>
    <w:rsid w:val="00462B33"/>
    <w:rsid w:val="00466CA3"/>
    <w:rsid w:val="00467284"/>
    <w:rsid w:val="0049548E"/>
    <w:rsid w:val="004A1E50"/>
    <w:rsid w:val="004E3C36"/>
    <w:rsid w:val="004E5933"/>
    <w:rsid w:val="00621353"/>
    <w:rsid w:val="0066028C"/>
    <w:rsid w:val="006710AF"/>
    <w:rsid w:val="006764AF"/>
    <w:rsid w:val="00683086"/>
    <w:rsid w:val="0068724F"/>
    <w:rsid w:val="006A259C"/>
    <w:rsid w:val="006A6A23"/>
    <w:rsid w:val="006E2076"/>
    <w:rsid w:val="006F1D5E"/>
    <w:rsid w:val="007001E9"/>
    <w:rsid w:val="007005F9"/>
    <w:rsid w:val="00705227"/>
    <w:rsid w:val="00712DA1"/>
    <w:rsid w:val="00761091"/>
    <w:rsid w:val="007714CB"/>
    <w:rsid w:val="007821D6"/>
    <w:rsid w:val="007943B1"/>
    <w:rsid w:val="007B13C5"/>
    <w:rsid w:val="007E44F9"/>
    <w:rsid w:val="008335FE"/>
    <w:rsid w:val="00836BCF"/>
    <w:rsid w:val="00837037"/>
    <w:rsid w:val="0085700E"/>
    <w:rsid w:val="00886B80"/>
    <w:rsid w:val="008E523C"/>
    <w:rsid w:val="008F2FEC"/>
    <w:rsid w:val="00900195"/>
    <w:rsid w:val="00914753"/>
    <w:rsid w:val="0092720D"/>
    <w:rsid w:val="00932A95"/>
    <w:rsid w:val="0093407E"/>
    <w:rsid w:val="00944FC6"/>
    <w:rsid w:val="00950A1E"/>
    <w:rsid w:val="00950A4B"/>
    <w:rsid w:val="009631E7"/>
    <w:rsid w:val="00972053"/>
    <w:rsid w:val="00974707"/>
    <w:rsid w:val="009754B6"/>
    <w:rsid w:val="00996686"/>
    <w:rsid w:val="009A7287"/>
    <w:rsid w:val="009B38F3"/>
    <w:rsid w:val="009C2B17"/>
    <w:rsid w:val="009C48F6"/>
    <w:rsid w:val="009C587C"/>
    <w:rsid w:val="009C6F06"/>
    <w:rsid w:val="009E3BD9"/>
    <w:rsid w:val="009F4168"/>
    <w:rsid w:val="00A36A66"/>
    <w:rsid w:val="00A36E0E"/>
    <w:rsid w:val="00A65163"/>
    <w:rsid w:val="00A768C5"/>
    <w:rsid w:val="00AF40A6"/>
    <w:rsid w:val="00AF7E78"/>
    <w:rsid w:val="00B50C97"/>
    <w:rsid w:val="00B51C32"/>
    <w:rsid w:val="00B94624"/>
    <w:rsid w:val="00BB0525"/>
    <w:rsid w:val="00C00F98"/>
    <w:rsid w:val="00C077D1"/>
    <w:rsid w:val="00C30147"/>
    <w:rsid w:val="00C35ED9"/>
    <w:rsid w:val="00C44723"/>
    <w:rsid w:val="00C6256F"/>
    <w:rsid w:val="00C7759D"/>
    <w:rsid w:val="00C86F8B"/>
    <w:rsid w:val="00C902A0"/>
    <w:rsid w:val="00C96D41"/>
    <w:rsid w:val="00CD7AAE"/>
    <w:rsid w:val="00CE111B"/>
    <w:rsid w:val="00CE6F95"/>
    <w:rsid w:val="00D071C8"/>
    <w:rsid w:val="00D123B4"/>
    <w:rsid w:val="00D32507"/>
    <w:rsid w:val="00D5558D"/>
    <w:rsid w:val="00DD6102"/>
    <w:rsid w:val="00DD7AD5"/>
    <w:rsid w:val="00E176D2"/>
    <w:rsid w:val="00E17785"/>
    <w:rsid w:val="00E406F9"/>
    <w:rsid w:val="00E86BB5"/>
    <w:rsid w:val="00E86D42"/>
    <w:rsid w:val="00E928CF"/>
    <w:rsid w:val="00EB0E24"/>
    <w:rsid w:val="00ED056E"/>
    <w:rsid w:val="00F15794"/>
    <w:rsid w:val="00F63354"/>
    <w:rsid w:val="00F723C0"/>
    <w:rsid w:val="00FD6338"/>
    <w:rsid w:val="00FF1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A3"/>
  </w:style>
  <w:style w:type="paragraph" w:styleId="Heading1">
    <w:name w:val="heading 1"/>
    <w:basedOn w:val="Normal"/>
    <w:next w:val="Normal"/>
    <w:link w:val="Heading1Char"/>
    <w:autoRedefine/>
    <w:qFormat/>
    <w:rsid w:val="008335FE"/>
    <w:pPr>
      <w:spacing w:line="300" w:lineRule="auto"/>
      <w:outlineLvl w:val="0"/>
    </w:pPr>
    <w:rPr>
      <w:rFonts w:ascii="Arial" w:eastAsiaTheme="majorEastAsia" w:hAnsi="Arial" w:cs="Arial"/>
      <w:b/>
      <w:bCs/>
      <w:kern w:val="32"/>
      <w:sz w:val="24"/>
      <w:szCs w:val="32"/>
      <w:lang w:eastAsia="en-US"/>
    </w:rPr>
  </w:style>
  <w:style w:type="paragraph" w:styleId="Heading2">
    <w:name w:val="heading 2"/>
    <w:basedOn w:val="Normal"/>
    <w:next w:val="Normal"/>
    <w:link w:val="Heading2Char"/>
    <w:autoRedefine/>
    <w:qFormat/>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styleId="Heading3">
    <w:name w:val="heading 3"/>
    <w:basedOn w:val="Normal"/>
    <w:next w:val="Normal"/>
    <w:link w:val="Heading3Char"/>
    <w:qFormat/>
    <w:rsid w:val="00E86D42"/>
    <w:pPr>
      <w:spacing w:line="300" w:lineRule="auto"/>
      <w:outlineLvl w:val="2"/>
    </w:pPr>
    <w:rPr>
      <w:rFonts w:ascii="Arial" w:eastAsia="Times New Roman" w:hAnsi="Arial" w:cs="Arial"/>
      <w:b/>
      <w:bCs/>
      <w:sz w:val="24"/>
      <w:szCs w:val="26"/>
      <w:lang w:eastAsia="en-US"/>
    </w:rPr>
  </w:style>
  <w:style w:type="paragraph" w:styleId="Heading4">
    <w:name w:val="heading 4"/>
    <w:basedOn w:val="Normal"/>
    <w:next w:val="Normal"/>
    <w:link w:val="Heading4Char"/>
    <w:autoRedefine/>
    <w:qFormat/>
    <w:rsid w:val="009631E7"/>
    <w:pPr>
      <w:spacing w:line="300" w:lineRule="auto"/>
      <w:outlineLvl w:val="3"/>
    </w:pPr>
    <w:rPr>
      <w:rFonts w:ascii="Arial" w:eastAsiaTheme="majorEastAsia" w:hAnsi="Arial" w:cstheme="majorBidi"/>
      <w:b/>
      <w:sz w:val="24"/>
      <w:szCs w:val="24"/>
      <w:lang w:eastAsia="en-US"/>
    </w:rPr>
  </w:style>
  <w:style w:type="paragraph" w:styleId="Heading5">
    <w:name w:val="heading 5"/>
    <w:basedOn w:val="Normal"/>
    <w:next w:val="Normal"/>
    <w:link w:val="Heading5Char"/>
    <w:autoRedefine/>
    <w:qFormat/>
    <w:rsid w:val="007821D6"/>
    <w:pPr>
      <w:keepNext/>
      <w:spacing w:line="300" w:lineRule="auto"/>
      <w:outlineLvl w:val="4"/>
    </w:pPr>
    <w:rPr>
      <w:rFonts w:ascii="Arial" w:eastAsia="Times New Roman" w:hAnsi="Arial" w:cs="Times New Roman"/>
      <w:b/>
      <w:bCs/>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BD1"/>
    <w:rPr>
      <w:color w:val="808080"/>
    </w:rPr>
  </w:style>
  <w:style w:type="paragraph" w:styleId="CommentText">
    <w:name w:val="annotation text"/>
    <w:basedOn w:val="Normal"/>
    <w:link w:val="CommentTextChar"/>
    <w:uiPriority w:val="99"/>
    <w:unhideWhenUsed/>
    <w:rsid w:val="00683086"/>
    <w:pPr>
      <w:spacing w:line="300" w:lineRule="auto"/>
    </w:pPr>
    <w:rPr>
      <w:rFonts w:ascii="Arial" w:eastAsia="Times New Roman" w:hAnsi="Arial" w:cs="Times New Roman"/>
      <w:sz w:val="24"/>
      <w:szCs w:val="20"/>
      <w:lang w:eastAsia="en-US"/>
    </w:rPr>
  </w:style>
  <w:style w:type="character" w:customStyle="1" w:styleId="CommentTextChar">
    <w:name w:val="Comment Text Char"/>
    <w:basedOn w:val="DefaultParagraphFont"/>
    <w:link w:val="CommentText"/>
    <w:uiPriority w:val="99"/>
    <w:rsid w:val="00683086"/>
    <w:rPr>
      <w:rFonts w:ascii="Arial" w:eastAsia="Times New Roman" w:hAnsi="Arial" w:cs="Times New Roman"/>
      <w:sz w:val="24"/>
      <w:szCs w:val="20"/>
      <w:lang w:eastAsia="en-US"/>
    </w:rPr>
  </w:style>
  <w:style w:type="paragraph" w:styleId="CommentSubject">
    <w:name w:val="annotation subject"/>
    <w:basedOn w:val="CommentText"/>
    <w:next w:val="CommentText"/>
    <w:link w:val="CommentSubjectChar"/>
    <w:uiPriority w:val="99"/>
    <w:semiHidden/>
    <w:unhideWhenUsed/>
    <w:rsid w:val="007B13C5"/>
    <w:pPr>
      <w:spacing w:after="0"/>
      <w:jc w:val="both"/>
    </w:pPr>
    <w:rPr>
      <w:b/>
      <w:bCs/>
    </w:rPr>
  </w:style>
  <w:style w:type="character" w:customStyle="1" w:styleId="CommentSubjectChar">
    <w:name w:val="Comment Subject Char"/>
    <w:basedOn w:val="CommentTextChar"/>
    <w:link w:val="CommentSubject"/>
    <w:uiPriority w:val="99"/>
    <w:semiHidden/>
    <w:rsid w:val="007B13C5"/>
    <w:rPr>
      <w:rFonts w:ascii="Arial" w:eastAsia="Times New Roman" w:hAnsi="Arial" w:cs="Times New Roman"/>
      <w:b/>
      <w:bCs/>
      <w:sz w:val="24"/>
      <w:szCs w:val="20"/>
      <w:lang w:eastAsia="en-US"/>
    </w:rPr>
  </w:style>
  <w:style w:type="paragraph" w:styleId="ListParagraph">
    <w:name w:val="List Paragraph"/>
    <w:basedOn w:val="Normal"/>
    <w:uiPriority w:val="34"/>
    <w:qFormat/>
    <w:rsid w:val="00121AB0"/>
    <w:pPr>
      <w:spacing w:line="300" w:lineRule="auto"/>
      <w:ind w:left="720"/>
    </w:pPr>
    <w:rPr>
      <w:rFonts w:ascii="Arial" w:eastAsia="Times New Roman" w:hAnsi="Arial" w:cs="Times New Roman"/>
      <w:lang w:val="en-US" w:eastAsia="en-US"/>
    </w:rPr>
  </w:style>
  <w:style w:type="character" w:styleId="Hyperlink">
    <w:name w:val="Hyperlink"/>
    <w:basedOn w:val="DefaultParagraphFont"/>
    <w:uiPriority w:val="99"/>
    <w:unhideWhenUsed/>
    <w:rsid w:val="00235BD1"/>
    <w:rPr>
      <w:color w:val="0000FF"/>
      <w:u w:val="single"/>
    </w:rPr>
  </w:style>
  <w:style w:type="paragraph" w:customStyle="1" w:styleId="A19AA972D3A5454494CF43135AE0147746">
    <w:name w:val="A19AA972D3A5454494CF43135AE0147746"/>
    <w:rsid w:val="00712DA1"/>
    <w:pPr>
      <w:spacing w:after="0" w:line="240" w:lineRule="auto"/>
      <w:jc w:val="both"/>
    </w:pPr>
    <w:rPr>
      <w:rFonts w:ascii="Arial" w:eastAsia="Times New Roman" w:hAnsi="Arial" w:cs="Times New Roman"/>
      <w:bCs/>
      <w:sz w:val="24"/>
      <w:szCs w:val="24"/>
      <w:lang w:eastAsia="en-US"/>
    </w:rPr>
  </w:style>
  <w:style w:type="character" w:customStyle="1" w:styleId="Heading1Char">
    <w:name w:val="Heading 1 Char"/>
    <w:basedOn w:val="DefaultParagraphFont"/>
    <w:link w:val="Heading1"/>
    <w:rsid w:val="008335FE"/>
    <w:rPr>
      <w:rFonts w:ascii="Arial" w:eastAsiaTheme="majorEastAsia" w:hAnsi="Arial" w:cs="Arial"/>
      <w:b/>
      <w:bCs/>
      <w:kern w:val="32"/>
      <w:sz w:val="24"/>
      <w:szCs w:val="32"/>
      <w:lang w:eastAsia="en-US"/>
    </w:rPr>
  </w:style>
  <w:style w:type="character" w:customStyle="1" w:styleId="Heading4Char">
    <w:name w:val="Heading 4 Char"/>
    <w:basedOn w:val="DefaultParagraphFont"/>
    <w:link w:val="Heading4"/>
    <w:rsid w:val="009631E7"/>
    <w:rPr>
      <w:rFonts w:ascii="Arial" w:eastAsiaTheme="majorEastAsia" w:hAnsi="Arial" w:cstheme="majorBidi"/>
      <w:b/>
      <w:sz w:val="24"/>
      <w:szCs w:val="24"/>
      <w:lang w:eastAsia="en-US"/>
    </w:rPr>
  </w:style>
  <w:style w:type="character" w:customStyle="1" w:styleId="Heading3Char">
    <w:name w:val="Heading 3 Char"/>
    <w:basedOn w:val="DefaultParagraphFont"/>
    <w:link w:val="Heading3"/>
    <w:rsid w:val="00E86D42"/>
    <w:rPr>
      <w:rFonts w:ascii="Arial" w:eastAsia="Times New Roman" w:hAnsi="Arial" w:cs="Arial"/>
      <w:b/>
      <w:bCs/>
      <w:sz w:val="24"/>
      <w:szCs w:val="26"/>
      <w:lang w:eastAsia="en-US"/>
    </w:rPr>
  </w:style>
  <w:style w:type="character" w:customStyle="1" w:styleId="Heading5Char">
    <w:name w:val="Heading 5 Char"/>
    <w:basedOn w:val="DefaultParagraphFont"/>
    <w:link w:val="Heading5"/>
    <w:rsid w:val="007821D6"/>
    <w:rPr>
      <w:rFonts w:ascii="Arial" w:eastAsia="Times New Roman" w:hAnsi="Arial" w:cs="Times New Roman"/>
      <w:b/>
      <w:bCs/>
      <w:iCs/>
      <w:sz w:val="24"/>
      <w:szCs w:val="24"/>
      <w:lang w:eastAsia="en-US"/>
    </w:rPr>
  </w:style>
  <w:style w:type="paragraph" w:customStyle="1" w:styleId="F85E2C550DC74022A28553DCF9C65DE342">
    <w:name w:val="F85E2C550DC74022A28553DCF9C65DE342"/>
    <w:rsid w:val="008335FE"/>
    <w:pPr>
      <w:spacing w:line="300" w:lineRule="auto"/>
    </w:pPr>
    <w:rPr>
      <w:rFonts w:ascii="Arial" w:eastAsia="Times New Roman" w:hAnsi="Arial" w:cs="Times New Roman"/>
      <w:sz w:val="24"/>
      <w:szCs w:val="24"/>
      <w:lang w:eastAsia="en-US"/>
    </w:rPr>
  </w:style>
  <w:style w:type="character" w:customStyle="1" w:styleId="Heading2Char">
    <w:name w:val="Heading 2 Char"/>
    <w:basedOn w:val="DefaultParagraphFont"/>
    <w:link w:val="Heading2"/>
    <w:rsid w:val="00235BD1"/>
    <w:rPr>
      <w:rFonts w:ascii="Arial" w:eastAsia="Times New Roman" w:hAnsi="Arial" w:cs="Arial"/>
      <w:b/>
      <w:bCs/>
      <w:iCs/>
      <w:color w:val="262626" w:themeColor="text1" w:themeTint="D9"/>
      <w:sz w:val="24"/>
      <w:szCs w:val="28"/>
      <w:lang w:eastAsia="en-US"/>
    </w:rPr>
  </w:style>
  <w:style w:type="character" w:styleId="CommentReference">
    <w:name w:val="annotation reference"/>
    <w:basedOn w:val="DefaultParagraphFont"/>
    <w:uiPriority w:val="99"/>
    <w:semiHidden/>
    <w:unhideWhenUsed/>
    <w:rsid w:val="00683086"/>
    <w:rPr>
      <w:sz w:val="16"/>
      <w:szCs w:val="16"/>
    </w:rPr>
  </w:style>
  <w:style w:type="paragraph" w:customStyle="1" w:styleId="C5955F19132345959C9E5CE860C6B5E325">
    <w:name w:val="C5955F19132345959C9E5CE860C6B5E325"/>
    <w:rsid w:val="00837037"/>
    <w:pPr>
      <w:spacing w:before="120" w:after="120" w:line="300" w:lineRule="auto"/>
      <w:ind w:left="1440" w:hanging="1440"/>
      <w:outlineLvl w:val="0"/>
    </w:pPr>
    <w:rPr>
      <w:rFonts w:ascii="Arial" w:eastAsiaTheme="majorEastAsia" w:hAnsi="Arial" w:cs="Arial"/>
      <w:b/>
      <w:bCs/>
      <w:color w:val="262626" w:themeColor="text1" w:themeTint="D9"/>
      <w:kern w:val="32"/>
      <w:sz w:val="24"/>
      <w:szCs w:val="32"/>
      <w:lang w:eastAsia="en-US"/>
    </w:rPr>
  </w:style>
  <w:style w:type="paragraph" w:customStyle="1" w:styleId="9D172055159A4968A6D9913159CB3F2072">
    <w:name w:val="9D172055159A4968A6D9913159CB3F2072"/>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customStyle="1" w:styleId="7F19337E8D9542C7BD146DE499C8D3A261">
    <w:name w:val="7F19337E8D9542C7BD146DE499C8D3A261"/>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customStyle="1" w:styleId="9B112308E1564EFEA70B30D481B3008F149">
    <w:name w:val="9B112308E1564EFEA70B30D481B3008F149"/>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customStyle="1" w:styleId="5EDFFABD799F4FC0B86135437D69EEF419">
    <w:name w:val="5EDFFABD799F4FC0B86135437D69EEF419"/>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DB77374044BF46E5AE4887B68890986C156">
    <w:name w:val="DB77374044BF46E5AE4887B68890986C156"/>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E7A1BB587EB04ED58188380687264ED8156">
    <w:name w:val="E7A1BB587EB04ED58188380687264ED8156"/>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018A3A63D21547D0A2E9D6C63FF40233154">
    <w:name w:val="018A3A63D21547D0A2E9D6C63FF40233154"/>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9D6B9CA2462A44EDBE48C517853E770D152">
    <w:name w:val="9D6B9CA2462A44EDBE48C517853E770D152"/>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ABE54B863C0D4B81B92CC9735ABF237D64">
    <w:name w:val="ABE54B863C0D4B81B92CC9735ABF237D64"/>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151FDBD819804EF688AF3276CC5CD36994">
    <w:name w:val="151FDBD819804EF688AF3276CC5CD36994"/>
    <w:rsid w:val="00235BD1"/>
    <w:pPr>
      <w:spacing w:before="120" w:after="120" w:line="300" w:lineRule="auto"/>
    </w:pPr>
    <w:rPr>
      <w:rFonts w:ascii="Arial" w:eastAsia="Times New Roman" w:hAnsi="Arial" w:cs="Times New Roman"/>
      <w:color w:val="262626" w:themeColor="text1" w:themeTint="D9"/>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93B26-CAE3-4634-A4F2-E9934B2F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14</Pages>
  <Words>5004</Words>
  <Characters>28523</Characters>
  <Application>Microsoft Office Word</Application>
  <DocSecurity>2</DocSecurity>
  <Lines>237</Lines>
  <Paragraphs>66</Paragraphs>
  <ScaleCrop>false</ScaleCrop>
  <HeadingPairs>
    <vt:vector size="2" baseType="variant">
      <vt:variant>
        <vt:lpstr>Title</vt:lpstr>
      </vt:variant>
      <vt:variant>
        <vt:i4>1</vt:i4>
      </vt:variant>
    </vt:vector>
  </HeadingPairs>
  <TitlesOfParts>
    <vt:vector size="1" baseType="lpstr">
      <vt:lpstr>Report</vt:lpstr>
    </vt:vector>
  </TitlesOfParts>
  <Company>City of Ottawa</Company>
  <LinksUpToDate>false</LinksUpToDate>
  <CharactersWithSpaces>33461</CharactersWithSpaces>
  <SharedDoc>false</SharedDoc>
  <HLinks>
    <vt:vector size="6" baseType="variant">
      <vt:variant>
        <vt:i4>4128798</vt:i4>
      </vt:variant>
      <vt:variant>
        <vt:i4>0</vt:i4>
      </vt:variant>
      <vt:variant>
        <vt:i4>0</vt:i4>
      </vt:variant>
      <vt:variant>
        <vt:i4>5</vt:i4>
      </vt:variant>
      <vt:variant>
        <vt:lpwstr>http://intraprod/cgi-bin/trans/trans.pl?lang=_en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kennedyly</dc:creator>
  <cp:lastModifiedBy>Ben Guedria, Randa</cp:lastModifiedBy>
  <cp:revision>9</cp:revision>
  <cp:lastPrinted>2015-12-22T19:58:00Z</cp:lastPrinted>
  <dcterms:created xsi:type="dcterms:W3CDTF">2026-05-01T17:13:00Z</dcterms:created>
  <dcterms:modified xsi:type="dcterms:W3CDTF">2026-06-02T13:31:00Z</dcterms:modified>
</cp:coreProperties>
</file>